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90" w:rsidRPr="00FB0B53" w:rsidRDefault="00C9786E" w:rsidP="00C554AA">
      <w:pPr>
        <w:spacing w:after="240"/>
        <w:jc w:val="center"/>
        <w:rPr>
          <w:rFonts w:asciiTheme="minorHAnsi" w:eastAsiaTheme="minorHAnsi" w:hAnsiTheme="minorHAnsi" w:cstheme="minorBidi"/>
          <w:b/>
          <w:color w:val="2F5496" w:themeColor="accent5" w:themeShade="BF"/>
          <w:sz w:val="56"/>
          <w:szCs w:val="72"/>
        </w:rPr>
      </w:pPr>
      <w:bookmarkStart w:id="0" w:name="_GoBack"/>
      <w:bookmarkEnd w:id="0"/>
      <w:r w:rsidRPr="00FB0B53">
        <w:rPr>
          <w:rFonts w:asciiTheme="minorHAnsi" w:eastAsiaTheme="minorHAnsi" w:hAnsiTheme="minorHAnsi" w:cstheme="minorBidi"/>
          <w:b/>
          <w:color w:val="2F5496" w:themeColor="accent5" w:themeShade="BF"/>
          <w:sz w:val="56"/>
          <w:szCs w:val="72"/>
        </w:rPr>
        <w:t>“The Investigation”</w:t>
      </w:r>
      <w:r w:rsidR="004E2FA4">
        <w:rPr>
          <w:rFonts w:asciiTheme="minorHAnsi" w:eastAsiaTheme="minorHAnsi" w:hAnsiTheme="minorHAnsi" w:cstheme="minorBidi"/>
          <w:b/>
          <w:color w:val="2F5496" w:themeColor="accent5" w:themeShade="BF"/>
          <w:sz w:val="56"/>
          <w:szCs w:val="72"/>
        </w:rPr>
        <w:t xml:space="preserve"> </w:t>
      </w:r>
      <w:r w:rsidR="00AB0B90" w:rsidRPr="00FB0B53">
        <w:rPr>
          <w:rFonts w:asciiTheme="minorHAnsi" w:eastAsiaTheme="minorHAnsi" w:hAnsiTheme="minorHAnsi" w:cstheme="minorBidi"/>
          <w:b/>
          <w:color w:val="2F5496" w:themeColor="accent5" w:themeShade="BF"/>
          <w:sz w:val="56"/>
          <w:szCs w:val="72"/>
        </w:rPr>
        <w:t>Rules &amp; Resources</w:t>
      </w:r>
    </w:p>
    <w:p w:rsidR="00AB0B90" w:rsidRPr="00AB0B90" w:rsidRDefault="00AB0B90" w:rsidP="00AB0B90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Working together as a team you have </w:t>
      </w:r>
      <w:r w:rsidRPr="00AD3192">
        <w:rPr>
          <w:rFonts w:asciiTheme="minorHAnsi" w:eastAsiaTheme="minorHAnsi" w:hAnsiTheme="minorHAnsi" w:cstheme="minorBidi"/>
          <w:b/>
          <w:sz w:val="26"/>
          <w:szCs w:val="26"/>
          <w:u w:val="single"/>
        </w:rPr>
        <w:t>3 hours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 to complete </w:t>
      </w:r>
      <w:r w:rsidR="00C9786E">
        <w:rPr>
          <w:rFonts w:asciiTheme="minorHAnsi" w:eastAsiaTheme="minorHAnsi" w:hAnsiTheme="minorHAnsi" w:cstheme="minorBidi"/>
          <w:sz w:val="26"/>
          <w:szCs w:val="26"/>
        </w:rPr>
        <w:t>“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>The Investigation</w:t>
      </w:r>
      <w:r w:rsidR="00C9786E">
        <w:rPr>
          <w:rFonts w:asciiTheme="minorHAnsi" w:eastAsiaTheme="minorHAnsi" w:hAnsiTheme="minorHAnsi" w:cstheme="minorBidi"/>
          <w:sz w:val="26"/>
          <w:szCs w:val="26"/>
        </w:rPr>
        <w:t>”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>!</w:t>
      </w:r>
    </w:p>
    <w:p w:rsidR="00AB0B90" w:rsidRPr="00AB0B90" w:rsidRDefault="00AB0B90" w:rsidP="005A4C32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You have </w:t>
      </w:r>
      <w:r w:rsidRPr="00AD3192">
        <w:rPr>
          <w:rFonts w:asciiTheme="minorHAnsi" w:eastAsiaTheme="minorHAnsi" w:hAnsiTheme="minorHAnsi" w:cstheme="minorBidi"/>
          <w:b/>
          <w:sz w:val="26"/>
          <w:szCs w:val="26"/>
          <w:u w:val="single"/>
        </w:rPr>
        <w:t>1 hour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 to solve each piece of the puzzle—pathogen, food, source of contamination</w:t>
      </w:r>
    </w:p>
    <w:p w:rsidR="00AB0B90" w:rsidRPr="00C9786E" w:rsidRDefault="00AB0B90" w:rsidP="005A4C32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C9786E">
        <w:rPr>
          <w:rFonts w:asciiTheme="minorHAnsi" w:eastAsiaTheme="minorHAnsi" w:hAnsiTheme="minorHAnsi" w:cstheme="minorBidi"/>
          <w:sz w:val="26"/>
          <w:szCs w:val="26"/>
        </w:rPr>
        <w:t xml:space="preserve">There are </w:t>
      </w:r>
      <w:r w:rsidRPr="00A46E6C">
        <w:rPr>
          <w:rFonts w:asciiTheme="minorHAnsi" w:eastAsiaTheme="minorHAnsi" w:hAnsiTheme="minorHAnsi" w:cstheme="minorBidi"/>
          <w:b/>
          <w:sz w:val="26"/>
          <w:szCs w:val="26"/>
          <w:u w:val="single"/>
        </w:rPr>
        <w:t>3 activities</w:t>
      </w:r>
      <w:r w:rsidRPr="00A46E6C">
        <w:rPr>
          <w:rFonts w:asciiTheme="minorHAnsi" w:eastAsiaTheme="minorHAnsi" w:hAnsiTheme="minorHAnsi" w:cstheme="minorBidi"/>
          <w:sz w:val="26"/>
          <w:szCs w:val="26"/>
          <w:u w:val="single"/>
        </w:rPr>
        <w:t xml:space="preserve"> </w:t>
      </w:r>
      <w:r w:rsidR="00C9786E" w:rsidRPr="00C9786E">
        <w:rPr>
          <w:rFonts w:asciiTheme="minorHAnsi" w:eastAsiaTheme="minorHAnsi" w:hAnsiTheme="minorHAnsi" w:cstheme="minorBidi"/>
          <w:sz w:val="26"/>
          <w:szCs w:val="26"/>
        </w:rPr>
        <w:t>for</w:t>
      </w:r>
      <w:r w:rsidRPr="00C9786E">
        <w:rPr>
          <w:rFonts w:asciiTheme="minorHAnsi" w:eastAsiaTheme="minorHAnsi" w:hAnsiTheme="minorHAnsi" w:cstheme="minorBidi"/>
          <w:sz w:val="26"/>
          <w:szCs w:val="26"/>
        </w:rPr>
        <w:t xml:space="preserve"> each piece of the puzzle</w:t>
      </w:r>
      <w:r w:rsidR="00C9786E" w:rsidRPr="00C9786E">
        <w:rPr>
          <w:rFonts w:asciiTheme="minorHAnsi" w:eastAsiaTheme="minorHAnsi" w:hAnsiTheme="minorHAnsi" w:cstheme="minorBidi"/>
          <w:sz w:val="26"/>
          <w:szCs w:val="26"/>
        </w:rPr>
        <w:t>—</w:t>
      </w:r>
      <w:r w:rsidRPr="00C9786E">
        <w:rPr>
          <w:rFonts w:asciiTheme="minorHAnsi" w:eastAsiaTheme="minorHAnsi" w:hAnsiTheme="minorHAnsi" w:cstheme="minorBidi"/>
          <w:sz w:val="26"/>
          <w:szCs w:val="26"/>
        </w:rPr>
        <w:t xml:space="preserve"> 3 pathogen-related activities,</w:t>
      </w:r>
      <w:r w:rsidR="00C9786E" w:rsidRPr="00C9786E">
        <w:rPr>
          <w:rFonts w:asciiTheme="minorHAnsi" w:eastAsiaTheme="minorHAnsi" w:hAnsiTheme="minorHAnsi" w:cstheme="minorBidi"/>
          <w:sz w:val="26"/>
          <w:szCs w:val="26"/>
        </w:rPr>
        <w:t xml:space="preserve"> 3 food-related activities</w:t>
      </w:r>
      <w:r w:rsidR="00C9786E">
        <w:rPr>
          <w:rFonts w:asciiTheme="minorHAnsi" w:eastAsiaTheme="minorHAnsi" w:hAnsiTheme="minorHAnsi" w:cstheme="minorBidi"/>
          <w:sz w:val="26"/>
          <w:szCs w:val="26"/>
        </w:rPr>
        <w:t>, and 3 source of contamination-related activities</w:t>
      </w:r>
    </w:p>
    <w:p w:rsidR="00A46E6C" w:rsidRPr="00A46E6C" w:rsidRDefault="00A46E6C" w:rsidP="00A46E6C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46E6C">
        <w:rPr>
          <w:rFonts w:asciiTheme="minorHAnsi" w:eastAsiaTheme="minorHAnsi" w:hAnsiTheme="minorHAnsi" w:cstheme="minorBidi"/>
          <w:bCs/>
          <w:sz w:val="26"/>
          <w:szCs w:val="26"/>
        </w:rPr>
        <w:t>All pathogen-related activities must be completed by 10AM, all food-related activities by 11AM, all source of contamination activities by 12PM</w:t>
      </w:r>
    </w:p>
    <w:p w:rsidR="00A46E6C" w:rsidRPr="00AB0B90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“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>The Investigation</w:t>
      </w:r>
      <w:r>
        <w:rPr>
          <w:rFonts w:asciiTheme="minorHAnsi" w:eastAsiaTheme="minorHAnsi" w:hAnsiTheme="minorHAnsi" w:cstheme="minorBidi"/>
          <w:sz w:val="26"/>
          <w:szCs w:val="26"/>
        </w:rPr>
        <w:t>”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 ends at 12PM sharp</w:t>
      </w:r>
    </w:p>
    <w:p w:rsidR="00A46E6C" w:rsidRPr="00A46E6C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b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MAJOR points deducted for late submissions… </w:t>
      </w:r>
      <w:r w:rsidRPr="00A46E6C">
        <w:rPr>
          <w:rFonts w:asciiTheme="minorHAnsi" w:eastAsiaTheme="minorHAnsi" w:hAnsiTheme="minorHAnsi" w:cstheme="minorBidi"/>
          <w:b/>
          <w:sz w:val="26"/>
          <w:szCs w:val="26"/>
        </w:rPr>
        <w:t>manage your time wisely!</w:t>
      </w:r>
    </w:p>
    <w:p w:rsidR="00A46E6C" w:rsidRDefault="00A46E6C" w:rsidP="00A46E6C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46E6C">
        <w:rPr>
          <w:rFonts w:asciiTheme="minorHAnsi" w:eastAsiaTheme="minorHAnsi" w:hAnsiTheme="minorHAnsi" w:cstheme="minorBidi"/>
          <w:b/>
          <w:sz w:val="26"/>
          <w:szCs w:val="26"/>
          <w:u w:val="single"/>
        </w:rPr>
        <w:t>Consult the website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(below) at the beginning of each hour to begin that hour’s activities</w:t>
      </w:r>
    </w:p>
    <w:p w:rsidR="00A46E6C" w:rsidRPr="00AB0B90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C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ompleted activity worksheet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must be 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>to FOC headquarters to receive information on the next activity</w:t>
      </w:r>
    </w:p>
    <w:p w:rsidR="00A46E6C" w:rsidRPr="00AB0B90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>Only 1 person should visit the FOC headquarters to submit activity worksheets  </w:t>
      </w:r>
    </w:p>
    <w:p w:rsidR="00A46E6C" w:rsidRDefault="00A46E6C" w:rsidP="00A46E6C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There are </w:t>
      </w:r>
      <w:r w:rsidRPr="00A46E6C">
        <w:rPr>
          <w:rFonts w:asciiTheme="minorHAnsi" w:eastAsiaTheme="minorHAnsi" w:hAnsiTheme="minorHAnsi" w:cstheme="minorBidi"/>
          <w:b/>
          <w:sz w:val="26"/>
          <w:szCs w:val="26"/>
          <w:u w:val="single"/>
        </w:rPr>
        <w:t>80 points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available overall</w:t>
      </w:r>
    </w:p>
    <w:p w:rsidR="00A46E6C" w:rsidRPr="00AB0B90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Each activity </w:t>
      </w:r>
      <w:r>
        <w:rPr>
          <w:rFonts w:asciiTheme="minorHAnsi" w:eastAsiaTheme="minorHAnsi" w:hAnsiTheme="minorHAnsi" w:cstheme="minorBidi"/>
          <w:sz w:val="26"/>
          <w:szCs w:val="26"/>
        </w:rPr>
        <w:t>is w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orth </w:t>
      </w:r>
      <w:r>
        <w:rPr>
          <w:rFonts w:asciiTheme="minorHAnsi" w:eastAsiaTheme="minorHAnsi" w:hAnsiTheme="minorHAnsi" w:cstheme="minorBidi"/>
          <w:sz w:val="26"/>
          <w:szCs w:val="26"/>
        </w:rPr>
        <w:t>6 points each (18 points per piece of the puzzle</w:t>
      </w:r>
      <w:r w:rsidR="00801D5F">
        <w:rPr>
          <w:rFonts w:asciiTheme="minorHAnsi" w:eastAsiaTheme="minorHAnsi" w:hAnsiTheme="minorHAnsi" w:cstheme="minorBidi"/>
          <w:sz w:val="26"/>
          <w:szCs w:val="26"/>
        </w:rPr>
        <w:t xml:space="preserve"> [for 54 total]</w:t>
      </w:r>
      <w:r>
        <w:rPr>
          <w:rFonts w:asciiTheme="minorHAnsi" w:eastAsiaTheme="minorHAnsi" w:hAnsiTheme="minorHAnsi" w:cstheme="minorBidi"/>
          <w:sz w:val="26"/>
          <w:szCs w:val="26"/>
        </w:rPr>
        <w:t>)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:rsidR="00A46E6C" w:rsidRDefault="00A46E6C" w:rsidP="00A46E6C">
      <w:pPr>
        <w:numPr>
          <w:ilvl w:val="1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B0B90">
        <w:rPr>
          <w:rFonts w:asciiTheme="minorHAnsi" w:eastAsiaTheme="minorHAnsi" w:hAnsiTheme="minorHAnsi" w:cstheme="minorBidi"/>
          <w:sz w:val="26"/>
          <w:szCs w:val="26"/>
        </w:rPr>
        <w:t>Look out for bonus activities along the way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(26 points available!)</w:t>
      </w:r>
      <w:r w:rsidRPr="00AB0B90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:rsidR="00AB0B90" w:rsidRPr="00AB0B90" w:rsidRDefault="00C9786E" w:rsidP="00AB0B90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A46E6C">
        <w:rPr>
          <w:rFonts w:asciiTheme="minorHAnsi" w:eastAsiaTheme="minorHAnsi" w:hAnsiTheme="minorHAnsi" w:cstheme="minorBidi"/>
          <w:b/>
          <w:sz w:val="26"/>
          <w:szCs w:val="26"/>
        </w:rPr>
        <w:t>Hint!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AB0B90" w:rsidRPr="00AB0B90">
        <w:rPr>
          <w:rFonts w:asciiTheme="minorHAnsi" w:eastAsiaTheme="minorHAnsi" w:hAnsiTheme="minorHAnsi" w:cstheme="minorBidi"/>
          <w:sz w:val="26"/>
          <w:szCs w:val="26"/>
        </w:rPr>
        <w:t>Save information you receive – i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t may become important later on </w:t>
      </w:r>
      <w:r w:rsidRPr="00C9786E">
        <w:rPr>
          <w:rFonts w:asciiTheme="minorHAnsi" w:eastAsiaTheme="minorHAnsi" w:hAnsiTheme="minorHAnsi" w:cstheme="minorBidi"/>
          <w:sz w:val="26"/>
          <w:szCs w:val="26"/>
        </w:rPr>
        <w:sym w:font="Wingdings" w:char="F04A"/>
      </w:r>
    </w:p>
    <w:p w:rsidR="00AB0B90" w:rsidRPr="00AB0B90" w:rsidRDefault="001902A7" w:rsidP="00AB0B90">
      <w:pPr>
        <w:numPr>
          <w:ilvl w:val="0"/>
          <w:numId w:val="1"/>
        </w:numPr>
        <w:spacing w:after="80" w:line="259" w:lineRule="auto"/>
        <w:rPr>
          <w:rFonts w:asciiTheme="minorHAnsi" w:eastAsiaTheme="minorHAnsi" w:hAnsiTheme="minorHAnsi" w:cstheme="minorBidi"/>
          <w:vanish/>
          <w:sz w:val="28"/>
          <w:szCs w:val="28"/>
        </w:rPr>
      </w:pPr>
      <w:r w:rsidRPr="00AB0B90">
        <w:rPr>
          <w:rFonts w:asciiTheme="minorHAnsi" w:eastAsiaTheme="minorHAnsi" w:hAnsiTheme="minorHAnsi" w:cstheme="min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9CA5" wp14:editId="43D536CA">
                <wp:simplePos x="0" y="0"/>
                <wp:positionH relativeFrom="column">
                  <wp:posOffset>-45720</wp:posOffset>
                </wp:positionH>
                <wp:positionV relativeFrom="paragraph">
                  <wp:posOffset>484505</wp:posOffset>
                </wp:positionV>
                <wp:extent cx="6572250" cy="1242060"/>
                <wp:effectExtent l="19050" t="19050" r="381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2420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C0B1" id="Rectangle 2" o:spid="_x0000_s1026" style="position:absolute;margin-left:-3.6pt;margin-top:38.15pt;width:517.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PydwIAAOoEAAAOAAAAZHJzL2Uyb0RvYy54bWysVE1v2zAMvQ/YfxB0X50YST+COkXaoMOA&#10;oi3WDj0zsmwL0NcoJU7360fJTht0Ow3rQSVF+lF8fMzl1d5otpMYlLMVn55MOJNWuFrZtuI/nm+/&#10;nHMWItgatLOy4q8y8Kvl50+XvV/I0nVO1xIZgdiw6H3Fuxj9oiiC6KSBcOK8tBRsHBqI5GJb1Ag9&#10;oRtdlJPJadE7rD06IUOg2/UQ5MuM3zRSxIemCTIyXXF6W8wn5nOTzmJ5CYsWwXdKjM+Af3iFAWWp&#10;6BvUGiKwLao/oIwS6IJr4olwpnBNo4TMPVA308mHbp468DL3QuQE/0ZT+H+w4n73iEzVFS85s2Bo&#10;RN+JNLCtlqxM9PQ+LCjryT/i6AUyU6/7Bk36T12wfab09Y1SuY9M0OXp/Kws58S8oNi0nJWT00x6&#10;8f65xxC/SmdYMiqOVD5TCbu7EKkkpR5SUjXrbpXWeW7asr7i87NpLgAkn0ZDpFrGU0PBtpyBbkmX&#10;ImKGDE6rOn2egAK2mxuNbAekjfn1xfV6PiR1UMvxdkJ/iQR6w5g+2Mc46XFrCN3wSS4xyMqoSNrW&#10;ylT8PAEdkLRN5WVW59hiInmgNVkbV7/SVNANcg1e3CoqcgchPgKSPolP2rn4QEejHXHgRouzzuGv&#10;v92nfJINRTnrSe/Ez88toORMf7MkqIvpbJYWJDszmho5eBzZHEfs1tw4om1K2+1FNlN+1AezQWde&#10;aDVXqSqFwAqqPUxidG7isIe03EKuVjmNlsJDvLNPXiTwxFOi93n/AuhHgUTS1r077AYsPuhkyB2U&#10;stpG16gsondeaYLJoYXKsxyXP23ssZ+z3n+ilr8BAAD//wMAUEsDBBQABgAIAAAAIQA0GeRW4QAA&#10;AAoBAAAPAAAAZHJzL2Rvd25yZXYueG1sTI/NTsMwEITvSLyDtUjcWidBamjIpuJHFQiVA20lxM2N&#10;lzgQr6PYbdO3xz3BcTSjmW/KxWg7caDBt44R0mkCgrh2uuUGYbtZTm5B+KBYq84xIZzIw6K6vChV&#10;od2R3+mwDo2IJewLhWBC6AspfW3IKj91PXH0vtxgVYhyaKQe1DGW205mSTKTVrUcF4zq6dFQ/bPe&#10;W4SV2XSnT//2+v0Qls/q4ymt+SVFvL4a7+9ABBrDXxjO+BEdqsi0c3vWXnQIkzyLSYR8dgPi7CdZ&#10;Hr/sELI8nYOsSvn/QvULAAD//wMAUEsBAi0AFAAGAAgAAAAhALaDOJL+AAAA4QEAABMAAAAAAAAA&#10;AAAAAAAAAAAAAFtDb250ZW50X1R5cGVzXS54bWxQSwECLQAUAAYACAAAACEAOP0h/9YAAACUAQAA&#10;CwAAAAAAAAAAAAAAAAAvAQAAX3JlbHMvLnJlbHNQSwECLQAUAAYACAAAACEAKR7z8ncCAADqBAAA&#10;DgAAAAAAAAAAAAAAAAAuAgAAZHJzL2Uyb0RvYy54bWxQSwECLQAUAAYACAAAACEANBnkVuEAAAAK&#10;AQAADwAAAAAAAAAAAAAAAADRBAAAZHJzL2Rvd25yZXYueG1sUEsFBgAAAAAEAAQA8wAAAN8FAAAA&#10;AA==&#10;" filled="f" strokecolor="#41719c" strokeweight="4.5pt"/>
            </w:pict>
          </mc:Fallback>
        </mc:AlternateContent>
      </w:r>
      <w:r w:rsidR="00AB0B90" w:rsidRPr="00AB0B90">
        <w:rPr>
          <w:rFonts w:asciiTheme="minorHAnsi" w:eastAsiaTheme="minorHAnsi" w:hAnsiTheme="minorHAnsi" w:cstheme="minorBidi"/>
          <w:sz w:val="26"/>
          <w:szCs w:val="26"/>
        </w:rPr>
        <w:t>You are free to use any resources (</w:t>
      </w:r>
      <w:r w:rsidR="00AB0B90" w:rsidRPr="00A46E6C">
        <w:rPr>
          <w:rFonts w:asciiTheme="minorHAnsi" w:eastAsiaTheme="minorHAnsi" w:hAnsiTheme="minorHAnsi" w:cstheme="minorBidi"/>
          <w:b/>
          <w:sz w:val="26"/>
          <w:szCs w:val="26"/>
        </w:rPr>
        <w:t>Google is your friend!</w:t>
      </w:r>
      <w:r w:rsidR="00AB0B90" w:rsidRPr="00AB0B90">
        <w:rPr>
          <w:rFonts w:asciiTheme="minorHAnsi" w:eastAsiaTheme="minorHAnsi" w:hAnsiTheme="minorHAnsi" w:cstheme="minorBidi"/>
          <w:sz w:val="26"/>
          <w:szCs w:val="26"/>
        </w:rPr>
        <w:t>), however you may only communicate with your team members and with your two phone-a-friend mentor cards.</w:t>
      </w:r>
      <w:r w:rsidR="00AB0B90" w:rsidRPr="00AB0B90">
        <w:rPr>
          <w:rFonts w:asciiTheme="minorHAnsi" w:eastAsiaTheme="minorHAnsi" w:hAnsiTheme="minorHAnsi" w:cstheme="minorBidi"/>
          <w:sz w:val="28"/>
          <w:szCs w:val="28"/>
        </w:rPr>
        <w:t> </w:t>
      </w:r>
    </w:p>
    <w:p w:rsidR="001902A7" w:rsidRDefault="001902A7" w:rsidP="00AB0B9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AB0B90" w:rsidRPr="00AB0B90" w:rsidRDefault="00AB0B90" w:rsidP="00AB0B9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AB0B90">
        <w:rPr>
          <w:rFonts w:asciiTheme="minorHAnsi" w:eastAsiaTheme="minorHAnsi" w:hAnsiTheme="minorHAnsi" w:cstheme="minorBidi"/>
          <w:b/>
          <w:sz w:val="32"/>
          <w:szCs w:val="32"/>
        </w:rPr>
        <w:t>Use this website for resources and information about the investigation:</w:t>
      </w:r>
    </w:p>
    <w:p w:rsidR="00AB0B90" w:rsidRDefault="00E712FE" w:rsidP="00AB0B90">
      <w:pPr>
        <w:spacing w:after="160" w:line="259" w:lineRule="auto"/>
        <w:jc w:val="center"/>
        <w:rPr>
          <w:rFonts w:ascii="Verdana" w:eastAsiaTheme="minorHAnsi" w:hAnsi="Verdana" w:cstheme="minorBidi"/>
          <w:b/>
          <w:color w:val="2F5496" w:themeColor="accent5" w:themeShade="BF"/>
          <w:sz w:val="32"/>
          <w:szCs w:val="32"/>
          <w:shd w:val="clear" w:color="auto" w:fill="FFFFFF"/>
        </w:rPr>
      </w:pPr>
      <w:hyperlink r:id="rId7" w:history="1">
        <w:r w:rsidR="001902A7" w:rsidRPr="00DC3671">
          <w:rPr>
            <w:rStyle w:val="Hyperlink"/>
            <w:rFonts w:ascii="Verdana" w:eastAsiaTheme="minorHAnsi" w:hAnsi="Verdana" w:cstheme="minorBidi"/>
            <w:b/>
            <w:sz w:val="32"/>
            <w:szCs w:val="32"/>
            <w:shd w:val="clear" w:color="auto" w:fill="FFFFFF"/>
          </w:rPr>
          <w:t>http://hslibraryguides.ucdenver.edu/foodsafety</w:t>
        </w:r>
      </w:hyperlink>
    </w:p>
    <w:p w:rsidR="001902A7" w:rsidRPr="004E2FA4" w:rsidRDefault="001902A7" w:rsidP="001902A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color w:val="FF0000"/>
          <w:szCs w:val="32"/>
        </w:rPr>
      </w:pPr>
      <w:r w:rsidRPr="004E2FA4">
        <w:rPr>
          <w:rFonts w:asciiTheme="minorHAnsi" w:eastAsiaTheme="minorHAnsi" w:hAnsiTheme="minorHAnsi" w:cstheme="minorBidi"/>
          <w:b/>
          <w:i/>
          <w:color w:val="FF0000"/>
          <w:szCs w:val="32"/>
        </w:rPr>
        <w:t>Additional information will be posted on this site every hour, so remember to check back!</w:t>
      </w:r>
    </w:p>
    <w:p w:rsidR="00AB0B90" w:rsidRPr="00AB0B90" w:rsidRDefault="00AB0B90" w:rsidP="001902A7">
      <w:pPr>
        <w:spacing w:after="120"/>
        <w:ind w:right="-144"/>
        <w:rPr>
          <w:rFonts w:ascii="Arial" w:hAnsi="Arial" w:cs="Arial"/>
          <w:i/>
        </w:rPr>
      </w:pPr>
    </w:p>
    <w:sectPr w:rsidR="00AB0B90" w:rsidRPr="00AB0B90" w:rsidSect="006D364F">
      <w:headerReference w:type="default" r:id="rId8"/>
      <w:footerReference w:type="default" r:id="rId9"/>
      <w:pgSz w:w="12240" w:h="15840"/>
      <w:pgMar w:top="432" w:right="1080" w:bottom="432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FE" w:rsidRDefault="00E712FE">
      <w:r>
        <w:separator/>
      </w:r>
    </w:p>
  </w:endnote>
  <w:endnote w:type="continuationSeparator" w:id="0">
    <w:p w:rsidR="00E712FE" w:rsidRDefault="00E7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59" w:rsidRPr="00AD3192" w:rsidRDefault="00E15159" w:rsidP="00DA3F37">
    <w:pPr>
      <w:pStyle w:val="Footer"/>
      <w:jc w:val="center"/>
      <w:rPr>
        <w:b/>
        <w:i/>
        <w:sz w:val="22"/>
      </w:rPr>
    </w:pPr>
    <w:r w:rsidRPr="00AD3192">
      <w:rPr>
        <w:b/>
        <w:i/>
        <w:sz w:val="22"/>
      </w:rPr>
      <w:t xml:space="preserve">This event and scholarship awards are supported by </w:t>
    </w:r>
    <w:proofErr w:type="spellStart"/>
    <w:r w:rsidRPr="00AD3192">
      <w:rPr>
        <w:b/>
        <w:i/>
        <w:sz w:val="22"/>
      </w:rPr>
      <w:t>EpiX</w:t>
    </w:r>
    <w:proofErr w:type="spellEnd"/>
    <w:r w:rsidR="00AD3192" w:rsidRPr="00AD3192">
      <w:rPr>
        <w:b/>
        <w:i/>
        <w:sz w:val="22"/>
      </w:rPr>
      <w:t xml:space="preserve"> Analytic</w:t>
    </w:r>
    <w:r w:rsidR="00AD3192">
      <w:rPr>
        <w:b/>
        <w:i/>
        <w:sz w:val="22"/>
      </w:rPr>
      <w:t>s</w:t>
    </w:r>
    <w:r w:rsidRPr="00AD3192">
      <w:rPr>
        <w:b/>
        <w:i/>
        <w:sz w:val="22"/>
      </w:rPr>
      <w:t xml:space="preserve"> and the Colorado Beef Council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4204"/>
      <w:gridCol w:w="2587"/>
    </w:tblGrid>
    <w:tr w:rsidR="00706ECE" w:rsidTr="00DA3F37">
      <w:trPr>
        <w:jc w:val="center"/>
      </w:trPr>
      <w:tc>
        <w:tcPr>
          <w:tcW w:w="3335" w:type="dxa"/>
          <w:vAlign w:val="center"/>
        </w:tcPr>
        <w:p w:rsidR="00706ECE" w:rsidRDefault="00706ECE" w:rsidP="00706EC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1752600" cy="1069861"/>
                <wp:effectExtent l="0" t="0" r="0" b="0"/>
                <wp:docPr id="9" name="Picture 9" descr="C:\Users\whiteali\AppData\Local\Microsoft\Windows\Temporary Internet Files\Content.Word\EpiXLogoNarr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whiteali\AppData\Local\Microsoft\Windows\Temporary Internet Files\Content.Word\EpiXLogoNarr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734" cy="109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:rsidR="00706ECE" w:rsidRDefault="00706ECE" w:rsidP="00706EC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2362200" cy="485775"/>
                <wp:effectExtent l="0" t="0" r="0" b="9525"/>
                <wp:docPr id="10" name="Picture 10" descr="C:\Users\whiteali\AppData\Local\Microsoft\Windows\Temporary Internet Files\Content.Word\CBC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whiteali\AppData\Local\Microsoft\Windows\Temporary Internet Files\Content.Word\CBC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vAlign w:val="center"/>
        </w:tcPr>
        <w:p w:rsidR="00706ECE" w:rsidRDefault="00706ECE" w:rsidP="00706ECE">
          <w:pPr>
            <w:pStyle w:val="Footer"/>
            <w:jc w:val="center"/>
          </w:pPr>
          <w:r w:rsidRPr="005705E0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33D2B51" wp14:editId="3CB3AD46">
                <wp:simplePos x="0" y="0"/>
                <wp:positionH relativeFrom="column">
                  <wp:posOffset>347345</wp:posOffset>
                </wp:positionH>
                <wp:positionV relativeFrom="paragraph">
                  <wp:posOffset>15240</wp:posOffset>
                </wp:positionV>
                <wp:extent cx="939800" cy="982980"/>
                <wp:effectExtent l="0" t="0" r="0" b="7620"/>
                <wp:wrapSquare wrapText="bothSides"/>
                <wp:docPr id="11" name="Picture 11" descr="C:\Users\Stegalosaurus\AppData\Local\Microsoft\Windows\Temporary Internet Files\Content.Outlook\B5W530HH\CoE logo no bckgr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galosaurus\AppData\Local\Microsoft\Windows\Temporary Internet Files\Content.Outlook\B5W530HH\CoE logo no bckgr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0720" w:rsidRDefault="00E71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FE" w:rsidRDefault="00E712FE">
      <w:r>
        <w:separator/>
      </w:r>
    </w:p>
  </w:footnote>
  <w:footnote w:type="continuationSeparator" w:id="0">
    <w:p w:rsidR="00E712FE" w:rsidRDefault="00E7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4128"/>
    </w:tblGrid>
    <w:tr w:rsidR="00DA3F37" w:rsidTr="006D364F">
      <w:trPr>
        <w:jc w:val="center"/>
      </w:trPr>
      <w:tc>
        <w:tcPr>
          <w:tcW w:w="5148" w:type="dxa"/>
          <w:vAlign w:val="center"/>
        </w:tcPr>
        <w:p w:rsidR="00DA3F37" w:rsidRDefault="00DA3F37" w:rsidP="00DA3F37">
          <w:pPr>
            <w:pStyle w:val="Header"/>
            <w:tabs>
              <w:tab w:val="clear" w:pos="9360"/>
              <w:tab w:val="right" w:pos="10080"/>
            </w:tabs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0D268352" wp14:editId="19889D7C">
                <wp:extent cx="3642360" cy="475141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h_wmPlus_bl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0127" cy="517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:rsidR="00DA3F37" w:rsidRDefault="00DA3F37" w:rsidP="006D364F">
          <w:pPr>
            <w:pStyle w:val="Header"/>
            <w:tabs>
              <w:tab w:val="clear" w:pos="9360"/>
              <w:tab w:val="right" w:pos="10080"/>
            </w:tabs>
            <w:jc w:val="right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90E5678" wp14:editId="26180AD1">
                <wp:extent cx="1456876" cy="1113657"/>
                <wp:effectExtent l="0" t="0" r="0" b="0"/>
                <wp:docPr id="8" name="Picture 8" descr="cid:image002.png@01D16FAC.9EDE9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2.png@01D16FAC.9EDE9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386" cy="118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F37" w:rsidRPr="00706ECE" w:rsidRDefault="00DA3F37" w:rsidP="00DA3F37">
    <w:pPr>
      <w:pStyle w:val="Header"/>
      <w:tabs>
        <w:tab w:val="clear" w:pos="9360"/>
        <w:tab w:val="right" w:pos="1008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A1C"/>
    <w:multiLevelType w:val="multilevel"/>
    <w:tmpl w:val="F7E0EAE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67"/>
    <w:rsid w:val="000E4887"/>
    <w:rsid w:val="001902A7"/>
    <w:rsid w:val="002204C0"/>
    <w:rsid w:val="003A1ED8"/>
    <w:rsid w:val="003D4FB1"/>
    <w:rsid w:val="004E2FA4"/>
    <w:rsid w:val="005A4C32"/>
    <w:rsid w:val="00674475"/>
    <w:rsid w:val="006D0F0D"/>
    <w:rsid w:val="006D364F"/>
    <w:rsid w:val="006D4E57"/>
    <w:rsid w:val="00706ECE"/>
    <w:rsid w:val="007753FE"/>
    <w:rsid w:val="00801D5F"/>
    <w:rsid w:val="00816D67"/>
    <w:rsid w:val="008C3344"/>
    <w:rsid w:val="00952D27"/>
    <w:rsid w:val="00970E82"/>
    <w:rsid w:val="00A46E6C"/>
    <w:rsid w:val="00A710DB"/>
    <w:rsid w:val="00AB0B90"/>
    <w:rsid w:val="00AC4736"/>
    <w:rsid w:val="00AD3192"/>
    <w:rsid w:val="00B910E2"/>
    <w:rsid w:val="00C554AA"/>
    <w:rsid w:val="00C86AC1"/>
    <w:rsid w:val="00C9786E"/>
    <w:rsid w:val="00DA3F37"/>
    <w:rsid w:val="00DF269D"/>
    <w:rsid w:val="00E15159"/>
    <w:rsid w:val="00E61DCF"/>
    <w:rsid w:val="00E712FE"/>
    <w:rsid w:val="00EB4FD9"/>
    <w:rsid w:val="00ED02FC"/>
    <w:rsid w:val="00FB0B5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1629B-8790-4582-A776-E5842ED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6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3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30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0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hslibraryguides.ucdenver.edu/foodsafety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6FAC.9EDE9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630AA-B782-427E-8FED-80FB7CAF5655}"/>
</file>

<file path=customXml/itemProps2.xml><?xml version="1.0" encoding="utf-8"?>
<ds:datastoreItem xmlns:ds="http://schemas.openxmlformats.org/officeDocument/2006/customXml" ds:itemID="{99FAE9A5-7AFD-4EE5-ADF0-38422D08364A}"/>
</file>

<file path=customXml/itemProps3.xml><?xml version="1.0" encoding="utf-8"?>
<ds:datastoreItem xmlns:ds="http://schemas.openxmlformats.org/officeDocument/2006/customXml" ds:itemID="{A371B3A6-D0C0-43ED-9459-AC08A222D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Alice</dc:creator>
  <cp:lastModifiedBy>White, Alice</cp:lastModifiedBy>
  <cp:revision>3</cp:revision>
  <cp:lastPrinted>2016-03-28T21:35:00Z</cp:lastPrinted>
  <dcterms:created xsi:type="dcterms:W3CDTF">2017-10-18T20:00:00Z</dcterms:created>
  <dcterms:modified xsi:type="dcterms:W3CDTF">2017-10-18T23:26:00Z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