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788C052" wp14:paraId="1E63D1A2" wp14:textId="3FDE6F4F">
      <w:pPr>
        <w:pStyle w:val="NoSpacing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Summarized Meeting Minutes</w:t>
      </w:r>
      <w:r w:rsidRPr="2788C052" w:rsidR="3008CC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| </w:t>
      </w:r>
      <w:r w:rsidRPr="2788C052" w:rsidR="0AB2D4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March 12</w:t>
      </w:r>
      <w:r w:rsidRPr="2788C052" w:rsidR="3008CC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, 2024</w:t>
      </w:r>
    </w:p>
    <w:p xmlns:wp14="http://schemas.microsoft.com/office/word/2010/wordml" w:rsidP="5EA73C74" wp14:paraId="082BDD26" wp14:textId="3477F66F">
      <w:pPr>
        <w:pStyle w:val="NoSpacing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788C052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HB 21-1317 F</w:t>
      </w:r>
      <w:r w:rsidRPr="2788C052" w:rsidR="41CA23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ifteent</w:t>
      </w:r>
      <w:r w:rsidRPr="2788C052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 Meeting of the Scientific Review Council</w:t>
      </w:r>
      <w:r w:rsidRPr="2788C052" w:rsidR="4E2471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(SRC)</w:t>
      </w:r>
    </w:p>
    <w:p w:rsidR="711E9F9C" w:rsidP="711E9F9C" w:rsidRDefault="711E9F9C" w14:paraId="592216EC" w14:textId="6D832F55">
      <w:pPr>
        <w:pStyle w:val="NoSpacing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2788C052" wp14:paraId="0780E475" wp14:textId="1C6A097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Overview Progress from the Cannabis Research &amp; Policy Project</w:t>
      </w:r>
      <w:r w:rsidRPr="2788C052" w:rsidR="7A013F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788C052" w:rsidR="1AF5D0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(CRPP) </w:t>
      </w:r>
      <w:r w:rsidRPr="2788C052" w:rsidR="7A013F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Since </w:t>
      </w:r>
      <w:r w:rsidRPr="2788C052" w:rsidR="7A013F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Last </w:t>
      </w:r>
      <w:r w:rsidRPr="2788C052" w:rsidR="7A013F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SRC Meeting</w:t>
      </w:r>
      <w:r w:rsidRPr="2788C052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xmlns:wp14="http://schemas.microsoft.com/office/word/2010/wordml" w:rsidP="2788C052" wp14:paraId="2AE61149" wp14:textId="7A992F67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38E3EB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CRPP</w:t>
      </w:r>
      <w:r w:rsidRPr="2788C052" w:rsidR="63637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has developed a team newsletter and pro</w:t>
      </w:r>
      <w:r w:rsidRPr="2788C052" w:rsidR="308A8C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ject timeline that is available on </w:t>
      </w:r>
      <w:r w:rsidRPr="2788C052" w:rsidR="444B4B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project </w:t>
      </w:r>
      <w:hyperlink r:id="R95bf1fab35194f46">
        <w:r w:rsidRPr="2788C052" w:rsidR="308A8C5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website</w:t>
        </w:r>
      </w:hyperlink>
      <w:r w:rsidRPr="2788C052" w:rsidR="308A8C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provide the public with updates on the project’s progress.</w:t>
      </w:r>
    </w:p>
    <w:p xmlns:wp14="http://schemas.microsoft.com/office/word/2010/wordml" w:rsidP="2788C052" wp14:paraId="28FA0F8A" wp14:textId="0D38F67B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5671C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(Working) Methods Workshop – </w:t>
      </w:r>
      <w:r w:rsidRPr="2788C052" w:rsidR="6BF3B3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</w:t>
      </w:r>
      <w:r w:rsidRPr="2788C052" w:rsidR="6BF3B3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88C052" w:rsidR="5671C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</w:t>
      </w:r>
      <w:r w:rsidRPr="2788C052" w:rsidR="520CEC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Boulder, CO</w:t>
      </w:r>
    </w:p>
    <w:p w:rsidR="5671C755" w:rsidP="2788C052" w:rsidRDefault="5671C755" w14:paraId="7E5999E9" w14:textId="0C6EAC82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88C052" w:rsidR="5671C7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Goal:</w:t>
      </w:r>
      <w:r w:rsidRPr="2788C052" w:rsidR="5671C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</w:t>
      </w:r>
      <w:r w:rsidRPr="2788C052" w:rsidR="7276CB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evelop a report that </w:t>
      </w:r>
      <w:r w:rsidRPr="2788C052" w:rsidR="1D1086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</w:t>
      </w:r>
      <w:r w:rsidRPr="2788C052" w:rsidR="600186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</w:t>
      </w:r>
      <w:r w:rsidRPr="2788C052" w:rsidR="1D1086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concern about the quality of studies and the consistency issues in the methods that are used in </w:t>
      </w:r>
      <w:r w:rsidRPr="2788C052" w:rsidR="6DFF48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cannabis</w:t>
      </w:r>
      <w:r w:rsidRPr="2788C052" w:rsidR="1D1086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researc</w:t>
      </w:r>
      <w:r w:rsidRPr="2788C052" w:rsidR="73E4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h. Also, </w:t>
      </w:r>
      <w:r w:rsidRPr="2788C052" w:rsidR="73E4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</w:t>
      </w:r>
      <w:r w:rsidRPr="2788C052" w:rsidR="73E4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sseminate</w:t>
      </w:r>
      <w:r w:rsidRPr="2788C052" w:rsidR="73E4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workshop product through multiple channels including the CRPP website and a peer-reviewed journal.</w:t>
      </w:r>
    </w:p>
    <w:p w:rsidR="1E4105DB" w:rsidP="2788C052" w:rsidRDefault="1E4105DB" w14:paraId="41FDBA7F" w14:textId="6FA887F4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</w:pPr>
      <w:r w:rsidRPr="2788C052" w:rsidR="1E4105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Who: </w:t>
      </w:r>
      <w:r w:rsidRPr="2788C052" w:rsidR="1E4105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Planning committee sent out invitations </w:t>
      </w:r>
      <w:r w:rsidRPr="2788C052" w:rsidR="1E4105DB">
        <w:rPr>
          <w:rFonts w:ascii="Calibri" w:hAnsi="Calibri" w:eastAsia="Calibri" w:cs="Calibri"/>
          <w:noProof w:val="0"/>
          <w:sz w:val="22"/>
          <w:szCs w:val="22"/>
          <w:lang w:val="en-US"/>
        </w:rPr>
        <w:t>on</w:t>
      </w:r>
      <w:r w:rsidRPr="2788C052" w:rsidR="1E4105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March 1</w:t>
      </w:r>
      <w:r w:rsidRPr="2788C052" w:rsidR="1E4105DB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st</w:t>
      </w:r>
      <w:r w:rsidRPr="2788C052" w:rsidR="1E4105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E4105DB" w:rsidP="2788C052" w:rsidRDefault="1E4105DB" w14:paraId="30C0F1E6" w14:textId="6AC0E9FD">
      <w:pPr>
        <w:pStyle w:val="ListParagraph"/>
        <w:numPr>
          <w:ilvl w:val="2"/>
          <w:numId w:val="40"/>
        </w:numPr>
        <w:ind w:left="1980" w:hanging="27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88C052" w:rsidR="1E4105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Areas of Expertise</w:t>
      </w:r>
      <w:r w:rsidRPr="2788C052" w:rsidR="78AB17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of Invitees</w:t>
      </w:r>
      <w:r w:rsidRPr="2788C052" w:rsidR="1E4105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  <w:r w:rsidRPr="2788C052" w:rsidR="1E4105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Surveillance, Policy, Clinical Toxicology, Industry Expert, Research Methodology, Psychiatry, Pharmacology, RAND, Biomarkers, &amp; Field Research</w:t>
      </w:r>
    </w:p>
    <w:p xmlns:wp14="http://schemas.microsoft.com/office/word/2010/wordml" w:rsidP="2788C052" wp14:paraId="5E50336E" wp14:textId="482011D4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2407A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Continuing Medical Education</w:t>
      </w:r>
      <w:r w:rsidRPr="2788C052" w:rsidR="488861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(CME)</w:t>
      </w:r>
      <w:r w:rsidRPr="2788C052" w:rsidR="2407A3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 with </w:t>
      </w:r>
      <w:r w:rsidRPr="2788C052" w:rsidR="043928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Children’s Hospital of Colorado</w:t>
      </w:r>
      <w:r w:rsidRPr="2788C052" w:rsidR="035A1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88C052" w:rsidR="2BC89E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May 15, 2024</w:t>
      </w:r>
    </w:p>
    <w:p xmlns:wp14="http://schemas.microsoft.com/office/word/2010/wordml" w:rsidP="2788C052" wp14:paraId="49737B13" wp14:textId="7D1E3163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10CF9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Audience:</w:t>
      </w:r>
      <w:r w:rsidRPr="2788C052" w:rsidR="10CF95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</w:t>
      </w:r>
      <w:r w:rsidRPr="2788C052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ediatric and OBGYN providers</w:t>
      </w:r>
      <w:r w:rsidRPr="2788C052" w:rsidR="3C7777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788C052" wp14:paraId="11314A8E" wp14:textId="36D8221F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535276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Goal:</w:t>
      </w:r>
      <w:r w:rsidRPr="2788C052" w:rsidR="535276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</w:t>
      </w:r>
      <w:r w:rsidRPr="2788C052" w:rsidR="06C73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ducate providers on the background on cannabis pharmacology, current market, landscape risk, </w:t>
      </w:r>
      <w:r w:rsidRPr="2788C052" w:rsidR="06C73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communication</w:t>
      </w:r>
      <w:r w:rsidRPr="2788C052" w:rsidR="06C73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current state of the evidence from </w:t>
      </w:r>
      <w:r w:rsidRPr="2788C052" w:rsidR="50812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2788C052" w:rsidR="06C73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scoping review. </w:t>
      </w:r>
    </w:p>
    <w:p xmlns:wp14="http://schemas.microsoft.com/office/word/2010/wordml" w:rsidP="2788C052" wp14:paraId="2FA8972C" wp14:textId="60C118BA">
      <w:pPr>
        <w:pStyle w:val="ListParagraph"/>
        <w:numPr>
          <w:ilvl w:val="1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15A60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Where:</w:t>
      </w:r>
      <w:r w:rsidRPr="2788C052" w:rsidR="15A60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88C052" w:rsidR="3C7777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Nighthorse Campbell building on the Anschutz Medical Campus. Registration is </w:t>
      </w:r>
      <w:hyperlink w:anchor="group-tabs-node-course-default1" r:id="Rb2a4312b91504d28">
        <w:r w:rsidRPr="2788C052" w:rsidR="3C77773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available here</w:t>
        </w:r>
      </w:hyperlink>
      <w:r w:rsidRPr="2788C052" w:rsidR="3C7777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788C052" wp14:paraId="763231D5" wp14:textId="25B08EE1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3E55C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CRPP is also partnering with the Department of Psychiatry to</w:t>
      </w:r>
      <w:r w:rsidRPr="2788C052" w:rsidR="38963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develop resources and trainings for mental health providers </w:t>
      </w:r>
      <w:r w:rsidRPr="2788C052" w:rsidR="65E0B7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related</w:t>
      </w:r>
      <w:r w:rsidRPr="2788C052" w:rsidR="38963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high-concentration cannabis use. We plan to host a CME event for </w:t>
      </w:r>
      <w:r w:rsidRPr="2788C052" w:rsidR="7F0BF6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mental health providers in </w:t>
      </w:r>
      <w:r w:rsidRPr="2788C052" w:rsidR="2C29B3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fiscal</w:t>
      </w:r>
      <w:r w:rsidRPr="2788C052" w:rsidR="7F0BF6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year 2025 and potentially partner with the education campaign team for outreach to K-12 educators. </w:t>
      </w:r>
    </w:p>
    <w:p xmlns:wp14="http://schemas.microsoft.com/office/word/2010/wordml" w:rsidP="2788C052" wp14:paraId="71643DB7" wp14:textId="4D5F6114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235751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CRPP</w:t>
      </w:r>
      <w:r w:rsidRPr="2788C052" w:rsidR="777F24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88C052" w:rsidR="39A02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multiple reports that are under development</w:t>
      </w:r>
      <w:r w:rsidRPr="2788C052" w:rsidR="11EA09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</w:t>
      </w:r>
      <w:r w:rsidRPr="2788C052" w:rsidR="69DC0B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see </w:t>
      </w:r>
      <w:r w:rsidRPr="2788C052" w:rsidR="5AB3BF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recording for full details</w:t>
      </w:r>
      <w:r w:rsidRPr="2788C052" w:rsidR="69DC0B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788C052" wp14:paraId="4CA057FD" wp14:textId="78FCE4F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Paper</w:t>
      </w:r>
      <w:r w:rsidRPr="2788C052" w:rsidR="754F347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on Cannabis Policy Options</w:t>
      </w:r>
      <w:r w:rsidRPr="2788C052" w:rsidR="4841993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xmlns:wp14="http://schemas.microsoft.com/office/word/2010/wordml" w:rsidP="2788C052" wp14:paraId="6849F82D" wp14:textId="4967952E">
      <w:pPr>
        <w:pStyle w:val="NoSpacing"/>
        <w:numPr>
          <w:ilvl w:val="0"/>
          <w:numId w:val="6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26996932">
        <w:rPr>
          <w:rFonts w:ascii="Calibri" w:hAnsi="Calibri" w:eastAsia="Calibri" w:cs="Calibri"/>
          <w:noProof w:val="0"/>
          <w:sz w:val="22"/>
          <w:szCs w:val="22"/>
          <w:lang w:val="en-US"/>
        </w:rPr>
        <w:t>CRPP</w:t>
      </w:r>
      <w:r w:rsidRPr="2788C052" w:rsidR="100008F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8C052" w:rsidR="5B2E9599">
        <w:rPr>
          <w:rFonts w:ascii="Calibri" w:hAnsi="Calibri" w:eastAsia="Calibri" w:cs="Calibri"/>
          <w:noProof w:val="0"/>
          <w:sz w:val="22"/>
          <w:szCs w:val="22"/>
          <w:lang w:val="en-US"/>
        </w:rPr>
        <w:t>detailed the premise for the policy paper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largely due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the </w:t>
      </w:r>
      <w:r w:rsidRPr="2788C052" w:rsidR="78646460">
        <w:rPr>
          <w:rFonts w:ascii="Calibri" w:hAnsi="Calibri" w:eastAsia="Calibri" w:cs="Calibri"/>
          <w:noProof w:val="0"/>
          <w:sz w:val="22"/>
          <w:szCs w:val="22"/>
          <w:lang w:val="en-US"/>
        </w:rPr>
        <w:t>limited</w:t>
      </w:r>
      <w:r w:rsidRPr="2788C052" w:rsidR="786464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set of findings from the scoping review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Per the language of HB 1317,</w:t>
      </w:r>
      <w:r w:rsidRPr="2788C052" w:rsidR="2AC04E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CRPP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 offer recommendations 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regarding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appropriate regulatory </w:t>
      </w:r>
      <w:r w:rsidRPr="2788C052" w:rsidR="27171E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measures -- </w:t>
      </w:r>
      <w:r w:rsidRPr="2788C052" w:rsidR="2D8D8346">
        <w:rPr>
          <w:rFonts w:ascii="Calibri" w:hAnsi="Calibri" w:eastAsia="Calibri" w:cs="Calibri"/>
          <w:noProof w:val="0"/>
          <w:sz w:val="22"/>
          <w:szCs w:val="22"/>
          <w:lang w:val="en-US"/>
        </w:rPr>
        <w:t>that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might reduce any adverse consequences of having higher concentration products in the marketplace</w:t>
      </w:r>
      <w:r w:rsidRPr="2788C052" w:rsidR="1B2D4E70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2788C052" w:rsidR="39E071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788C052" w:rsidR="260DECAD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2788C052" w:rsidR="260DEC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</w:t>
      </w:r>
      <w:r w:rsidRPr="2788C052" w:rsidR="260DEC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CRPP’s intent is to post this paper on the CRPP website to complement the previously published report.</w:t>
      </w:r>
    </w:p>
    <w:p xmlns:wp14="http://schemas.microsoft.com/office/word/2010/wordml" w:rsidP="2788C052" wp14:paraId="45CDB47F" wp14:textId="1D9A8729">
      <w:pPr>
        <w:pStyle w:val="ListParagraph"/>
        <w:numPr>
          <w:ilvl w:val="0"/>
          <w:numId w:val="6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27B512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SRC members</w:t>
      </w:r>
      <w:r w:rsidRPr="2788C052" w:rsidR="7513C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discussed the potential of providing recommendations </w:t>
      </w:r>
      <w:r w:rsidRPr="2788C052" w:rsidR="7513C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themselves but</w:t>
      </w:r>
      <w:r w:rsidRPr="2788C052" w:rsidR="7513C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have agreed to hold off until </w:t>
      </w:r>
      <w:r w:rsidRPr="2788C052" w:rsidR="7513C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2788C052" w:rsidR="7513C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evidence becomes available. </w:t>
      </w:r>
      <w:r w:rsidRPr="2788C052" w:rsidR="27B512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788C052" wp14:paraId="50037BDB" wp14:textId="278E5413">
      <w:pPr>
        <w:pStyle w:val="ListParagraph"/>
        <w:numPr>
          <w:ilvl w:val="0"/>
          <w:numId w:val="68"/>
        </w:numPr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135F60D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Suggestions </w:t>
      </w:r>
      <w:r w:rsidRPr="2788C052" w:rsidR="5C6E6D9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provided by the </w:t>
      </w:r>
      <w:r w:rsidRPr="2788C052" w:rsidR="135F60D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SRC</w:t>
      </w:r>
      <w:r w:rsidRPr="2788C052" w:rsidR="7F1A38D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88C052" w:rsidR="1C44D9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available </w:t>
      </w:r>
      <w:r w:rsidRPr="2788C052" w:rsidR="7F1A38D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</w:t>
      </w:r>
      <w:r w:rsidRPr="2788C052" w:rsidR="0C1CAFA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recording</w:t>
      </w:r>
      <w:r w:rsidRPr="2788C052" w:rsidR="7F1A38D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788C052" wp14:paraId="072040A7" wp14:textId="5539F01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Educational Campaign Update</w:t>
      </w:r>
      <w:r w:rsidRPr="2788C052" w:rsidR="7042A2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Following an Evidence-Based Strategy</w:t>
      </w:r>
      <w:r w:rsidRPr="2788C052" w:rsidR="1B2D4E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xmlns:wp14="http://schemas.microsoft.com/office/word/2010/wordml" w:rsidP="2788C052" wp14:paraId="144376C0" wp14:textId="0E0FE366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educational campaign team</w:t>
      </w: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provided a progress overview and how the team plans to </w:t>
      </w: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disseminate</w:t>
      </w: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campaign to the Colorado public with the focus to decrease consumption of high-concentration cannabis use among youth, young adults, pregnant, and post-partum people. </w:t>
      </w:r>
    </w:p>
    <w:p xmlns:wp14="http://schemas.microsoft.com/office/word/2010/wordml" w:rsidP="2788C052" wp14:paraId="3F6B25B4" wp14:textId="2286E6E8">
      <w:pPr>
        <w:pStyle w:val="ListParagraph"/>
        <w:numPr>
          <w:ilvl w:val="0"/>
          <w:numId w:val="105"/>
        </w:numPr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educational campaign team discussed the ongoing involvement of our community partners and their engagement with how we</w:t>
      </w:r>
      <w:r w:rsidRPr="2788C052" w:rsidR="50723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</w:t>
      </w: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deliver this information. We continue to meet with our community adult and youth advisory groups in Denver, Pueblo, and the San Luis Valley.</w:t>
      </w:r>
    </w:p>
    <w:p xmlns:wp14="http://schemas.microsoft.com/office/word/2010/wordml" w:rsidP="2788C052" wp14:paraId="1C680BA7" wp14:textId="25051F8B">
      <w:pPr>
        <w:pStyle w:val="ListParagraph"/>
        <w:numPr>
          <w:ilvl w:val="0"/>
          <w:numId w:val="105"/>
        </w:numPr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educational campaign team reviewed each of the projects</w:t>
      </w:r>
      <w:r w:rsidRPr="2788C052" w:rsidR="541B6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listed below </w:t>
      </w: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including the target audience, </w:t>
      </w: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anticipated</w:t>
      </w: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deliverables, relevant dates,</w:t>
      </w: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evaluation</w:t>
      </w:r>
      <w:r w:rsidRPr="2788C052" w:rsidR="29D40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metric, and key site contacts for each project. </w:t>
      </w:r>
    </w:p>
    <w:tbl>
      <w:tblPr>
        <w:tblStyle w:val="TableGrid"/>
        <w:tblW w:w="0" w:type="auto"/>
        <w:jc w:val="center"/>
        <w:tblBorders>
          <w:top w:val="single" w:sz="6"/>
          <w:left w:val="single" w:sz="6"/>
          <w:bottom w:val="single" w:sz="6"/>
          <w:right w:val="single" w:sz="6"/>
          <w:insideH w:val="single" w:color="000000" w:themeColor="text1" w:sz="8"/>
          <w:insideV w:val="single" w:color="000000" w:themeColor="text1" w:sz="8"/>
        </w:tblBorders>
        <w:tblLayout w:type="fixed"/>
        <w:tblLook w:val="06A0" w:firstRow="1" w:lastRow="0" w:firstColumn="1" w:lastColumn="0" w:noHBand="1" w:noVBand="1"/>
      </w:tblPr>
      <w:tblGrid>
        <w:gridCol w:w="3930"/>
        <w:gridCol w:w="5194"/>
      </w:tblGrid>
      <w:tr w:rsidR="2788C052" w:rsidTr="17D107AF" w14:paraId="6D489A5C">
        <w:trPr>
          <w:trHeight w:val="300"/>
        </w:trPr>
        <w:tc>
          <w:tcPr>
            <w:tcW w:w="3930" w:type="dxa"/>
            <w:tcBorders>
              <w:top w:val="single" w:color="FFFFFF" w:themeColor="background1" w:sz="0"/>
              <w:left w:val="single" w:color="FFFFFF" w:themeColor="background1" w:sz="0"/>
            </w:tcBorders>
            <w:shd w:val="clear" w:color="auto" w:fill="7B886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72194179" w14:textId="6972DF9D">
            <w:pPr>
              <w:pStyle w:val="NoSpacing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5194" w:type="dxa"/>
            <w:tcBorders>
              <w:top w:val="single" w:color="FFFFFF" w:themeColor="background1" w:sz="0"/>
              <w:right w:val="single" w:color="FFFFFF" w:themeColor="background1" w:sz="0"/>
            </w:tcBorders>
            <w:shd w:val="clear" w:color="auto" w:fill="7B886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1F4A25F1" w14:textId="606CE0E6">
            <w:pPr>
              <w:pStyle w:val="NoSpacing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US"/>
              </w:rPr>
              <w:t>Activities &amp; Deliverables</w:t>
            </w:r>
          </w:p>
        </w:tc>
      </w:tr>
      <w:tr w:rsidR="2788C052" w:rsidTr="17D107AF" w14:paraId="7AAFC640">
        <w:trPr>
          <w:trHeight w:val="585"/>
        </w:trPr>
        <w:tc>
          <w:tcPr>
            <w:tcW w:w="3930" w:type="dxa"/>
            <w:tcBorders>
              <w:left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17D107AF" w:rsidRDefault="2788C052" w14:paraId="7EAA7F97" w14:textId="6F2BF425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107AF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Initium Health – </w:t>
            </w:r>
            <w:r w:rsidRPr="17D107AF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Marketing Content Development</w:t>
            </w:r>
          </w:p>
        </w:tc>
        <w:tc>
          <w:tcPr>
            <w:tcW w:w="5194" w:type="dxa"/>
            <w:tcBorders>
              <w:right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24361724" w14:textId="2C8D5681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Six videos, six written products, three online educational modules, program branding</w:t>
            </w:r>
          </w:p>
        </w:tc>
      </w:tr>
      <w:tr w:rsidR="2788C052" w:rsidTr="17D107AF" w14:paraId="1B958319">
        <w:trPr>
          <w:trHeight w:val="390"/>
        </w:trPr>
        <w:tc>
          <w:tcPr>
            <w:tcW w:w="3930" w:type="dxa"/>
            <w:tcBorders>
              <w:left w:val="single" w:color="FFFFFF" w:themeColor="background1" w:sz="0"/>
            </w:tcBorders>
            <w:shd w:val="clear" w:color="auto" w:fill="F2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7391C0FE" w14:textId="567D34B8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Initium Health – 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Social Media Campaign</w:t>
            </w:r>
          </w:p>
        </w:tc>
        <w:tc>
          <w:tcPr>
            <w:tcW w:w="5194" w:type="dxa"/>
            <w:tcBorders>
              <w:right w:val="single" w:color="FFFFFF" w:themeColor="background1" w:sz="0"/>
            </w:tcBorders>
            <w:shd w:val="clear" w:color="auto" w:fill="F2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489CAEB9" w14:textId="1637DBD9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Program website; content across relevant social media platforms; podcast on topic of HCC</w:t>
            </w:r>
          </w:p>
        </w:tc>
      </w:tr>
      <w:tr w:rsidR="2788C052" w:rsidTr="17D107AF" w14:paraId="7C40F13A">
        <w:trPr>
          <w:trHeight w:val="555"/>
        </w:trPr>
        <w:tc>
          <w:tcPr>
            <w:tcW w:w="3930" w:type="dxa"/>
            <w:tcBorders>
              <w:left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25FA9D8B" w14:textId="72C82C92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Initium Health – 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Integrated Media Campaign</w:t>
            </w:r>
          </w:p>
        </w:tc>
        <w:tc>
          <w:tcPr>
            <w:tcW w:w="5194" w:type="dxa"/>
            <w:tcBorders>
              <w:right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5CAECD11" w14:textId="6AA29F8E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Integrated advertising campaign across various channels (e.g., print, television, radio, social media); supports all relevant initiatives</w:t>
            </w:r>
          </w:p>
        </w:tc>
      </w:tr>
      <w:tr w:rsidR="2788C052" w:rsidTr="17D107AF" w14:paraId="63BC5A09">
        <w:trPr>
          <w:trHeight w:val="660"/>
        </w:trPr>
        <w:tc>
          <w:tcPr>
            <w:tcW w:w="3930" w:type="dxa"/>
            <w:tcBorders>
              <w:left w:val="single" w:color="FFFFFF" w:themeColor="background1" w:sz="0"/>
            </w:tcBorders>
            <w:shd w:val="clear" w:color="auto" w:fill="F2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17D107AF" w:rsidRDefault="2788C052" w14:paraId="0BBDF906" w14:textId="2385266F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107AF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Shadow Consulting – </w:t>
            </w:r>
            <w:r w:rsidRPr="17D107AF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Art Exhibitions HEAR|SAY</w:t>
            </w:r>
          </w:p>
        </w:tc>
        <w:tc>
          <w:tcPr>
            <w:tcW w:w="5194" w:type="dxa"/>
            <w:tcBorders>
              <w:right w:val="single" w:color="FFFFFF" w:themeColor="background1" w:sz="0"/>
            </w:tcBorders>
            <w:shd w:val="clear" w:color="auto" w:fill="F2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60644EC4" w14:textId="3FCA9872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Two art exhibitions (adult and youth) and mural, printed catalog, display panels, 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accompanying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events (e.g., artist talks, youth performances)</w:t>
            </w:r>
          </w:p>
        </w:tc>
      </w:tr>
      <w:tr w:rsidR="2788C052" w:rsidTr="17D107AF" w14:paraId="5545A595">
        <w:trPr>
          <w:trHeight w:val="660"/>
        </w:trPr>
        <w:tc>
          <w:tcPr>
            <w:tcW w:w="3930" w:type="dxa"/>
            <w:tcBorders>
              <w:left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3AA13889" w14:textId="1C464113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Community Partner Training (CSPH) – 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Motivational Interviewing Trainings</w:t>
            </w:r>
          </w:p>
        </w:tc>
        <w:tc>
          <w:tcPr>
            <w:tcW w:w="5194" w:type="dxa"/>
            <w:tcBorders>
              <w:right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5839AF1A" w14:textId="1839A636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Six, 2-hour trainings on the basics of motivational interviewing &amp; one, 4-week online course on the details of motivational interviewing</w:t>
            </w:r>
          </w:p>
        </w:tc>
      </w:tr>
      <w:tr w:rsidR="2788C052" w:rsidTr="17D107AF" w14:paraId="5A8697D9">
        <w:trPr>
          <w:trHeight w:val="390"/>
        </w:trPr>
        <w:tc>
          <w:tcPr>
            <w:tcW w:w="3930" w:type="dxa"/>
            <w:tcBorders>
              <w:left w:val="single" w:color="FFFFFF" w:themeColor="background1" w:sz="0"/>
            </w:tcBorders>
            <w:shd w:val="clear" w:color="auto" w:fill="F2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053BCA5C" w14:textId="4E3AB33D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Clinic Chat, LLC – 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HCC Education via AI Chatbots</w:t>
            </w:r>
          </w:p>
        </w:tc>
        <w:tc>
          <w:tcPr>
            <w:tcW w:w="5194" w:type="dxa"/>
            <w:tcBorders>
              <w:right w:val="single" w:color="FFFFFF" w:themeColor="background1" w:sz="0"/>
            </w:tcBorders>
            <w:shd w:val="clear" w:color="auto" w:fill="F2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3B416F1D" w14:textId="1AEEB6EF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Artificial intelligence (AI) chatbot on the topic of HCC, delivered through web-based conversations and telephone- and What’s App-based text messages in English and Spanish</w:t>
            </w:r>
          </w:p>
        </w:tc>
      </w:tr>
      <w:tr w:rsidR="2788C052" w:rsidTr="17D107AF" w14:paraId="4F6E5B81">
        <w:trPr>
          <w:trHeight w:val="390"/>
        </w:trPr>
        <w:tc>
          <w:tcPr>
            <w:tcW w:w="3930" w:type="dxa"/>
            <w:tcBorders>
              <w:left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19CDBA55" w14:textId="0DB46B59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University of Northern Colorado – 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College Educational Campaign</w:t>
            </w:r>
          </w:p>
        </w:tc>
        <w:tc>
          <w:tcPr>
            <w:tcW w:w="5194" w:type="dxa"/>
            <w:tcBorders>
              <w:right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2245C984" w14:textId="45BA6689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Development of HCC screening and educational materials and resources 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disseminated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through UNC’s Office of Health Promotion; Mindfulness training certification for UNC’s faculty that focuses on positive alternatives to cannabis consumption</w:t>
            </w:r>
          </w:p>
        </w:tc>
      </w:tr>
      <w:tr w:rsidR="2788C052" w:rsidTr="17D107AF" w14:paraId="3AE53F5E">
        <w:trPr>
          <w:trHeight w:val="390"/>
        </w:trPr>
        <w:tc>
          <w:tcPr>
            <w:tcW w:w="3930" w:type="dxa"/>
            <w:tcBorders>
              <w:left w:val="single" w:color="FFFFFF" w:themeColor="background1" w:sz="0"/>
            </w:tcBorders>
            <w:shd w:val="clear" w:color="auto" w:fill="F2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17D107AF" w:rsidRDefault="2788C052" w14:paraId="58B4282F" w14:textId="33A30769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107AF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Colorado State University </w:t>
            </w:r>
            <w:r w:rsidRPr="17D107AF" w:rsidR="2E763695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Faculty </w:t>
            </w:r>
            <w:r w:rsidRPr="17D107AF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– </w:t>
            </w:r>
            <w:r w:rsidRPr="17D107AF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Young Adult Educational Campaign</w:t>
            </w:r>
          </w:p>
        </w:tc>
        <w:tc>
          <w:tcPr>
            <w:tcW w:w="5194" w:type="dxa"/>
            <w:tcBorders>
              <w:right w:val="single" w:color="FFFFFF" w:themeColor="background1" w:sz="0"/>
            </w:tcBorders>
            <w:shd w:val="clear" w:color="auto" w:fill="F2F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71796220" w14:textId="254FA177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Social marketing campaign targeted at college-aged youth in Larimer and Weld counties</w:t>
            </w:r>
          </w:p>
        </w:tc>
      </w:tr>
      <w:tr w:rsidR="2788C052" w:rsidTr="17D107AF" w14:paraId="6D592B31">
        <w:trPr>
          <w:trHeight w:val="600"/>
        </w:trPr>
        <w:tc>
          <w:tcPr>
            <w:tcW w:w="3930" w:type="dxa"/>
            <w:tcBorders>
              <w:left w:val="single" w:color="FFFFFF" w:themeColor="background1" w:sz="0"/>
              <w:bottom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4056D62F" w14:textId="0AF56696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CU Department of Psychiatry – </w:t>
            </w: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CME Events</w:t>
            </w:r>
          </w:p>
        </w:tc>
        <w:tc>
          <w:tcPr>
            <w:tcW w:w="5194" w:type="dxa"/>
            <w:tcBorders>
              <w:bottom w:val="single" w:color="FFFFFF" w:themeColor="background1" w:sz="0"/>
              <w:right w:val="single" w:color="FFFFFF" w:themeColor="background1" w:sz="0"/>
            </w:tcBorders>
            <w:shd w:val="clear" w:color="auto" w:fill="E3DF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2788C052" w:rsidP="2788C052" w:rsidRDefault="2788C052" w14:paraId="7BCDFAD4" w14:textId="792260A6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788C052" w:rsidR="2788C05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Educator trainings on HCC impact and how to have conversations</w:t>
            </w:r>
          </w:p>
        </w:tc>
      </w:tr>
    </w:tbl>
    <w:p xmlns:wp14="http://schemas.microsoft.com/office/word/2010/wordml" w:rsidP="2788C052" wp14:paraId="31D78990" wp14:textId="1A2540BE">
      <w:pPr>
        <w:pStyle w:val="ListParagraph"/>
        <w:numPr>
          <w:ilvl w:val="0"/>
          <w:numId w:val="105"/>
        </w:numPr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3A4A0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Evaluation</w:t>
      </w:r>
      <w:r w:rsidRPr="2788C052" w:rsidR="058C19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Campaign Efforts and How to Adjust Future Activities</w:t>
      </w:r>
      <w:r w:rsidRPr="2788C052" w:rsidR="3A4A0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2788C052" wp14:paraId="229ACB84" wp14:textId="1960C823">
      <w:pPr>
        <w:pStyle w:val="ListParagraph"/>
        <w:numPr>
          <w:ilvl w:val="1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335500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2788C052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valuation survey tool </w:t>
      </w:r>
      <w:r w:rsidRPr="2788C052" w:rsidR="06B28F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under development</w:t>
      </w:r>
      <w:r w:rsidRPr="2788C052" w:rsidR="6C9241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788C052" w:rsidR="06B28F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788C052" wp14:paraId="2F6FED75" wp14:textId="481B2BCF">
      <w:pPr>
        <w:pStyle w:val="ListParagraph"/>
        <w:numPr>
          <w:ilvl w:val="1"/>
          <w:numId w:val="10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88C052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AI Chat bot and Initium Health will also conduct </w:t>
      </w:r>
      <w:r w:rsidRPr="2788C052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2788C052" w:rsidR="1B2D4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evaluations of </w:t>
      </w:r>
      <w:r w:rsidRPr="2788C052" w:rsidR="414453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campaign</w:t>
      </w:r>
      <w:r w:rsidRPr="2788C052" w:rsidR="414453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4B41868" w:rsidP="17D107AF" w:rsidRDefault="04B41868" w14:paraId="60136002" w14:textId="150E2BFF">
      <w:pPr>
        <w:pStyle w:val="ListParagraph"/>
        <w:numPr>
          <w:ilvl w:val="0"/>
          <w:numId w:val="105"/>
        </w:numPr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D107AF" w:rsidR="04B4186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Suggestions provided by the </w:t>
      </w:r>
      <w:r w:rsidRPr="17D107AF" w:rsidR="60C0F55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SRC,</w:t>
      </w:r>
      <w:r w:rsidRPr="17D107AF" w:rsidR="7B1402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17D107AF" w:rsidR="7B1402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17D107AF" w:rsidR="7B14020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details</w:t>
      </w:r>
      <w:r w:rsidRPr="17D107AF" w:rsidR="04B4186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available in the meeting recording.</w:t>
      </w:r>
    </w:p>
    <w:p w:rsidR="77213A9E" w:rsidP="17D107AF" w:rsidRDefault="77213A9E" w14:paraId="5DD58CCF" w14:textId="7AC44C9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D107AF" w:rsidR="77213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more information, please review the </w:t>
      </w:r>
      <w:hyperlink r:id="Redbc6c206f7e408a">
        <w:r w:rsidRPr="17D107AF" w:rsidR="77213A9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meeting recording</w:t>
        </w:r>
      </w:hyperlink>
      <w:r w:rsidRPr="17D107AF" w:rsidR="280A8A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D107AF" w:rsidR="340330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17D107AF" w:rsidR="340330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unedited</w:t>
      </w:r>
      <w:r w:rsidRPr="17D107AF" w:rsidR="340330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transcript.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S1gF5uC" int2:invalidationBookmarkName="" int2:hashCode="rLAjIm1R9t+E6C" int2:id="8rQsb6bM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47">
    <w:nsid w:val="221e3b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">
    <w:nsid w:val="43901b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">
    <w:nsid w:val="76bea8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">
    <w:nsid w:val="29c352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">
    <w:nsid w:val="a1e77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">
    <w:nsid w:val="3665d9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">
    <w:nsid w:val="7e24f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nsid w:val="390a26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nsid w:val="658a71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nsid w:val="5f01cc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nsid w:val="1c3d7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nsid w:val="38ec7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nsid w:val="235d6b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nsid w:val="1b47f7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nsid w:val="67494d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nsid w:val="241078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nsid w:val="47e90c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nsid w:val="64042b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nsid w:val="1ef956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nsid w:val="260fb1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nsid w:val="746e6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7e9907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nsid w:val="20bacd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nsid w:val="75c4df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64c244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45c52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2144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625909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62daed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734c82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52fb12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669165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63eecf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78c97b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72b3b5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796e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fc76d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2bbd8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320958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76890b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e3bee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1c43a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2d6e01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nsid w:val="58add2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53ebf4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35f7a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ee0b1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1f36d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5ce33e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251161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183908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598c1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3e1372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6014a8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615df4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6deb50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5c63df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15ddc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5259f9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98fee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6d0304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2f8464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6054bf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7bb1ca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718f74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1cede4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67e1dd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116aed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6b8d5f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4d2da1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fee1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d0b20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4091a8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1d285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312ca3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787f5e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64d304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bb45b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4fa905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504323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495cf1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7f5f0a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6b9870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24d437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1f12cb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81041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3d17f0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49bba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43c05a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2f765a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41707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3d4dd9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b6b00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6d6a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4ab196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9e75f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785bb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cb092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6d909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14994c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0ff62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3d10c4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b88ba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4f0c6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67f7c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405b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a5539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138fc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18820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44229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1f30e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d4e7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11ca4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5c20a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abd23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1459c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25f7e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e2e7e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eb004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c0e2e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1d2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3a06d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92211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f67b0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d5f83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4ed7f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5f1bc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320e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33a0e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a2e34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196ac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92d99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29150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8db3d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8cb6d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5c91f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d0f59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83d16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d022e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a6e83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d83b4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38b68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68455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072a2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ba8e4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d4952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99e02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7">
    <w:abstractNumId w:val="147"/>
  </w:num>
  <w:num w:numId="146">
    <w:abstractNumId w:val="146"/>
  </w:num>
  <w:num w:numId="145">
    <w:abstractNumId w:val="145"/>
  </w:num>
  <w:num w:numId="144">
    <w:abstractNumId w:val="144"/>
  </w:num>
  <w:num w:numId="143">
    <w:abstractNumId w:val="143"/>
  </w:num>
  <w:num w:numId="142">
    <w:abstractNumId w:val="142"/>
  </w:num>
  <w:num w:numId="141">
    <w:abstractNumId w:val="141"/>
  </w:num>
  <w:num w:numId="140">
    <w:abstractNumId w:val="140"/>
  </w:num>
  <w:num w:numId="139">
    <w:abstractNumId w:val="139"/>
  </w:num>
  <w:num w:numId="138">
    <w:abstractNumId w:val="138"/>
  </w:num>
  <w:num w:numId="137">
    <w:abstractNumId w:val="137"/>
  </w:num>
  <w:num w:numId="136">
    <w:abstractNumId w:val="136"/>
  </w:num>
  <w:num w:numId="135">
    <w:abstractNumId w:val="135"/>
  </w:num>
  <w:num w:numId="134">
    <w:abstractNumId w:val="134"/>
  </w:num>
  <w:num w:numId="133">
    <w:abstractNumId w:val="133"/>
  </w:num>
  <w:num w:numId="132">
    <w:abstractNumId w:val="132"/>
  </w:num>
  <w:num w:numId="131">
    <w:abstractNumId w:val="131"/>
  </w:num>
  <w:num w:numId="130">
    <w:abstractNumId w:val="130"/>
  </w:num>
  <w:num w:numId="129">
    <w:abstractNumId w:val="129"/>
  </w:num>
  <w:num w:numId="128">
    <w:abstractNumId w:val="128"/>
  </w:num>
  <w:num w:numId="127">
    <w:abstractNumId w:val="127"/>
  </w:num>
  <w:num w:numId="126">
    <w:abstractNumId w:val="126"/>
  </w:num>
  <w:num w:numId="125">
    <w:abstractNumId w:val="125"/>
  </w:num>
  <w:num w:numId="124">
    <w:abstractNumId w:val="124"/>
  </w:num>
  <w:num w:numId="123">
    <w:abstractNumId w:val="123"/>
  </w:num>
  <w:num w:numId="122">
    <w:abstractNumId w:val="122"/>
  </w:num>
  <w:num w:numId="121">
    <w:abstractNumId w:val="121"/>
  </w:num>
  <w:num w:numId="120">
    <w:abstractNumId w:val="120"/>
  </w:num>
  <w:num w:numId="119">
    <w:abstractNumId w:val="119"/>
  </w:num>
  <w:num w:numId="118">
    <w:abstractNumId w:val="118"/>
  </w:num>
  <w:num w:numId="117">
    <w:abstractNumId w:val="117"/>
  </w:num>
  <w:num w:numId="116">
    <w:abstractNumId w:val="116"/>
  </w:num>
  <w:num w:numId="115">
    <w:abstractNumId w:val="115"/>
  </w:num>
  <w:num w:numId="114">
    <w:abstractNumId w:val="114"/>
  </w:num>
  <w:num w:numId="113">
    <w:abstractNumId w:val="113"/>
  </w:num>
  <w:num w:numId="112">
    <w:abstractNumId w:val="112"/>
  </w:num>
  <w:num w:numId="111">
    <w:abstractNumId w:val="111"/>
  </w:num>
  <w:num w:numId="110">
    <w:abstractNumId w:val="110"/>
  </w:num>
  <w:num w:numId="109">
    <w:abstractNumId w:val="109"/>
  </w:num>
  <w:num w:numId="108">
    <w:abstractNumId w:val="108"/>
  </w:num>
  <w:num w:numId="107">
    <w:abstractNumId w:val="107"/>
  </w:num>
  <w:num w:numId="106">
    <w:abstractNumId w:val="106"/>
  </w:num>
  <w:num w:numId="105">
    <w:abstractNumId w:val="105"/>
  </w:num>
  <w:num w:numId="104">
    <w:abstractNumId w:val="104"/>
  </w:num>
  <w:num w:numId="103">
    <w:abstractNumId w:val="103"/>
  </w:num>
  <w:num w:numId="102">
    <w:abstractNumId w:val="102"/>
  </w:num>
  <w:num w:numId="101">
    <w:abstractNumId w:val="101"/>
  </w:num>
  <w:num w:numId="100">
    <w:abstractNumId w:val="100"/>
  </w:num>
  <w:num w:numId="99">
    <w:abstractNumId w:val="99"/>
  </w:num>
  <w:num w:numId="98">
    <w:abstractNumId w:val="98"/>
  </w:num>
  <w:num w:numId="97">
    <w:abstractNumId w:val="97"/>
  </w:num>
  <w:num w:numId="96">
    <w:abstractNumId w:val="96"/>
  </w:num>
  <w:num w:numId="95">
    <w:abstractNumId w:val="95"/>
  </w:num>
  <w:num w:numId="94">
    <w:abstractNumId w:val="94"/>
  </w:num>
  <w:num w:numId="93">
    <w:abstractNumId w:val="93"/>
  </w:num>
  <w:num w:numId="92">
    <w:abstractNumId w:val="92"/>
  </w:num>
  <w:num w:numId="91">
    <w:abstractNumId w:val="91"/>
  </w:num>
  <w:num w:numId="90">
    <w:abstractNumId w:val="90"/>
  </w: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B15449"/>
    <w:rsid w:val="0032EAC9"/>
    <w:rsid w:val="0069B18E"/>
    <w:rsid w:val="009DF4CB"/>
    <w:rsid w:val="0121C26E"/>
    <w:rsid w:val="015E4053"/>
    <w:rsid w:val="0197CAD5"/>
    <w:rsid w:val="01CAFECC"/>
    <w:rsid w:val="01CEBB2A"/>
    <w:rsid w:val="01E16308"/>
    <w:rsid w:val="01F11F6B"/>
    <w:rsid w:val="035A1649"/>
    <w:rsid w:val="0395E033"/>
    <w:rsid w:val="03AD09C1"/>
    <w:rsid w:val="03C532F3"/>
    <w:rsid w:val="03D072D5"/>
    <w:rsid w:val="0424EC12"/>
    <w:rsid w:val="04284CF9"/>
    <w:rsid w:val="042AEE77"/>
    <w:rsid w:val="0439286D"/>
    <w:rsid w:val="0478E3C9"/>
    <w:rsid w:val="04B41868"/>
    <w:rsid w:val="052D5236"/>
    <w:rsid w:val="05317CB0"/>
    <w:rsid w:val="0546678D"/>
    <w:rsid w:val="055438FA"/>
    <w:rsid w:val="058C19C4"/>
    <w:rsid w:val="05BF549F"/>
    <w:rsid w:val="068CC4DE"/>
    <w:rsid w:val="06B28F3D"/>
    <w:rsid w:val="06C734D5"/>
    <w:rsid w:val="06EE57A2"/>
    <w:rsid w:val="072E5CB2"/>
    <w:rsid w:val="08758A3C"/>
    <w:rsid w:val="08AA7EE8"/>
    <w:rsid w:val="08BDF6AA"/>
    <w:rsid w:val="08CA2D13"/>
    <w:rsid w:val="08F9BC5E"/>
    <w:rsid w:val="0A33B389"/>
    <w:rsid w:val="0A89992D"/>
    <w:rsid w:val="0AB2D411"/>
    <w:rsid w:val="0AD9D4F3"/>
    <w:rsid w:val="0AEB8EE5"/>
    <w:rsid w:val="0AF5109E"/>
    <w:rsid w:val="0B02E1F9"/>
    <w:rsid w:val="0B8A7C63"/>
    <w:rsid w:val="0B929153"/>
    <w:rsid w:val="0BBFB168"/>
    <w:rsid w:val="0BF0ED0D"/>
    <w:rsid w:val="0BFE5EA6"/>
    <w:rsid w:val="0C0E9D5E"/>
    <w:rsid w:val="0C1CAFAF"/>
    <w:rsid w:val="0C2C9753"/>
    <w:rsid w:val="0CA59260"/>
    <w:rsid w:val="0CAD57AD"/>
    <w:rsid w:val="0CAD57AD"/>
    <w:rsid w:val="0CD1C24C"/>
    <w:rsid w:val="0CE447C5"/>
    <w:rsid w:val="0D18A14B"/>
    <w:rsid w:val="0D2721D1"/>
    <w:rsid w:val="0D462282"/>
    <w:rsid w:val="0DAA6DBF"/>
    <w:rsid w:val="0EAC2230"/>
    <w:rsid w:val="0EE1F2E3"/>
    <w:rsid w:val="0F463E20"/>
    <w:rsid w:val="0F6B635D"/>
    <w:rsid w:val="0F851CE3"/>
    <w:rsid w:val="0F90CF4D"/>
    <w:rsid w:val="0FDCFEED"/>
    <w:rsid w:val="100008F8"/>
    <w:rsid w:val="1016D7F4"/>
    <w:rsid w:val="1099A1E8"/>
    <w:rsid w:val="109A49ED"/>
    <w:rsid w:val="10CF9561"/>
    <w:rsid w:val="10FC592B"/>
    <w:rsid w:val="118DCDDE"/>
    <w:rsid w:val="11EA09B4"/>
    <w:rsid w:val="126AB5DF"/>
    <w:rsid w:val="12A4C376"/>
    <w:rsid w:val="135F60D9"/>
    <w:rsid w:val="139E7DD2"/>
    <w:rsid w:val="13B6F28D"/>
    <w:rsid w:val="14308FEB"/>
    <w:rsid w:val="14599426"/>
    <w:rsid w:val="14ED8C3E"/>
    <w:rsid w:val="15204B3C"/>
    <w:rsid w:val="155C8B57"/>
    <w:rsid w:val="15A604DF"/>
    <w:rsid w:val="15B8D0DB"/>
    <w:rsid w:val="15C0DFA7"/>
    <w:rsid w:val="15FFB92F"/>
    <w:rsid w:val="16393FF9"/>
    <w:rsid w:val="165D9A3E"/>
    <w:rsid w:val="1669CBF7"/>
    <w:rsid w:val="16AA9935"/>
    <w:rsid w:val="16B77D38"/>
    <w:rsid w:val="16C61598"/>
    <w:rsid w:val="16F3D3C4"/>
    <w:rsid w:val="16F85BB8"/>
    <w:rsid w:val="173A370C"/>
    <w:rsid w:val="17D107AF"/>
    <w:rsid w:val="17EAB387"/>
    <w:rsid w:val="182B32E5"/>
    <w:rsid w:val="189C199F"/>
    <w:rsid w:val="189FD335"/>
    <w:rsid w:val="18B3C395"/>
    <w:rsid w:val="1913B436"/>
    <w:rsid w:val="192AFEB0"/>
    <w:rsid w:val="19921CD1"/>
    <w:rsid w:val="19EF1DFA"/>
    <w:rsid w:val="1A051436"/>
    <w:rsid w:val="1AB0A891"/>
    <w:rsid w:val="1AF5D0A5"/>
    <w:rsid w:val="1B2D4E70"/>
    <w:rsid w:val="1C1B6E09"/>
    <w:rsid w:val="1C44D9CE"/>
    <w:rsid w:val="1C665BD0"/>
    <w:rsid w:val="1D1086A8"/>
    <w:rsid w:val="1D2ABAB5"/>
    <w:rsid w:val="1D3330E8"/>
    <w:rsid w:val="1D6534C4"/>
    <w:rsid w:val="1DAF4666"/>
    <w:rsid w:val="1E27AFAA"/>
    <w:rsid w:val="1E4105DB"/>
    <w:rsid w:val="1E9B2C1F"/>
    <w:rsid w:val="1EDC285D"/>
    <w:rsid w:val="1F20575D"/>
    <w:rsid w:val="1F43CC32"/>
    <w:rsid w:val="1F43CC32"/>
    <w:rsid w:val="1F668FAF"/>
    <w:rsid w:val="1F7873B3"/>
    <w:rsid w:val="1FC72414"/>
    <w:rsid w:val="201D13CB"/>
    <w:rsid w:val="20421134"/>
    <w:rsid w:val="20754B04"/>
    <w:rsid w:val="20862764"/>
    <w:rsid w:val="20BED57A"/>
    <w:rsid w:val="22111B65"/>
    <w:rsid w:val="2224BA51"/>
    <w:rsid w:val="2242FBE5"/>
    <w:rsid w:val="23575166"/>
    <w:rsid w:val="23960040"/>
    <w:rsid w:val="239EA647"/>
    <w:rsid w:val="23C64434"/>
    <w:rsid w:val="2407A3B0"/>
    <w:rsid w:val="240D5791"/>
    <w:rsid w:val="24985054"/>
    <w:rsid w:val="24C13FFA"/>
    <w:rsid w:val="25620853"/>
    <w:rsid w:val="257A9CA7"/>
    <w:rsid w:val="25DF2A17"/>
    <w:rsid w:val="25F01A8C"/>
    <w:rsid w:val="260DECAD"/>
    <w:rsid w:val="26116F3E"/>
    <w:rsid w:val="2655B620"/>
    <w:rsid w:val="2664099C"/>
    <w:rsid w:val="26996932"/>
    <w:rsid w:val="27166D08"/>
    <w:rsid w:val="27171E83"/>
    <w:rsid w:val="2774C23C"/>
    <w:rsid w:val="277AFA78"/>
    <w:rsid w:val="2788C052"/>
    <w:rsid w:val="27984970"/>
    <w:rsid w:val="279E4A22"/>
    <w:rsid w:val="27B5124B"/>
    <w:rsid w:val="27CC9A86"/>
    <w:rsid w:val="27E30ACD"/>
    <w:rsid w:val="2808B194"/>
    <w:rsid w:val="280A8A1D"/>
    <w:rsid w:val="283AB384"/>
    <w:rsid w:val="28715EE9"/>
    <w:rsid w:val="289144EE"/>
    <w:rsid w:val="28AACDBB"/>
    <w:rsid w:val="28F20959"/>
    <w:rsid w:val="29D40D81"/>
    <w:rsid w:val="2A06B980"/>
    <w:rsid w:val="2A68DBC2"/>
    <w:rsid w:val="2AB59B2A"/>
    <w:rsid w:val="2AC04EEC"/>
    <w:rsid w:val="2B181A31"/>
    <w:rsid w:val="2BC89EB7"/>
    <w:rsid w:val="2BDC2F29"/>
    <w:rsid w:val="2BFDE86E"/>
    <w:rsid w:val="2C29B38E"/>
    <w:rsid w:val="2C4D8C22"/>
    <w:rsid w:val="2CD34B20"/>
    <w:rsid w:val="2D8D8346"/>
    <w:rsid w:val="2DC9CBDB"/>
    <w:rsid w:val="2DE94D2C"/>
    <w:rsid w:val="2E293406"/>
    <w:rsid w:val="2E342B19"/>
    <w:rsid w:val="2E758FFA"/>
    <w:rsid w:val="2E763695"/>
    <w:rsid w:val="2EC97CB3"/>
    <w:rsid w:val="2F3F4B40"/>
    <w:rsid w:val="2F4844EB"/>
    <w:rsid w:val="2F8DF9E3"/>
    <w:rsid w:val="2FEB8B54"/>
    <w:rsid w:val="3008CC66"/>
    <w:rsid w:val="3028D20B"/>
    <w:rsid w:val="308A8C54"/>
    <w:rsid w:val="30BBC8A2"/>
    <w:rsid w:val="30FD1B3E"/>
    <w:rsid w:val="31016C9D"/>
    <w:rsid w:val="31941040"/>
    <w:rsid w:val="31D43C66"/>
    <w:rsid w:val="3214813D"/>
    <w:rsid w:val="327FC342"/>
    <w:rsid w:val="32CCA4D5"/>
    <w:rsid w:val="32E4B231"/>
    <w:rsid w:val="3322E2E8"/>
    <w:rsid w:val="333C170A"/>
    <w:rsid w:val="334A7A2A"/>
    <w:rsid w:val="335500B0"/>
    <w:rsid w:val="3370A803"/>
    <w:rsid w:val="33B41190"/>
    <w:rsid w:val="33CEBF0A"/>
    <w:rsid w:val="33F419AA"/>
    <w:rsid w:val="34033045"/>
    <w:rsid w:val="34418FCF"/>
    <w:rsid w:val="3467435A"/>
    <w:rsid w:val="34B15449"/>
    <w:rsid w:val="34B67EA9"/>
    <w:rsid w:val="34C433B6"/>
    <w:rsid w:val="34DD5C13"/>
    <w:rsid w:val="35716EAE"/>
    <w:rsid w:val="357342A7"/>
    <w:rsid w:val="358E6E24"/>
    <w:rsid w:val="35F5B288"/>
    <w:rsid w:val="35FD3B67"/>
    <w:rsid w:val="36462612"/>
    <w:rsid w:val="36A4695C"/>
    <w:rsid w:val="36EC10C4"/>
    <w:rsid w:val="374E8FCB"/>
    <w:rsid w:val="37971ECF"/>
    <w:rsid w:val="37EE1F6B"/>
    <w:rsid w:val="3860D0EC"/>
    <w:rsid w:val="3890235D"/>
    <w:rsid w:val="389635F8"/>
    <w:rsid w:val="3899CCD7"/>
    <w:rsid w:val="38C71673"/>
    <w:rsid w:val="38D81DC0"/>
    <w:rsid w:val="38E3EBD7"/>
    <w:rsid w:val="3905472A"/>
    <w:rsid w:val="3917FF4D"/>
    <w:rsid w:val="39232633"/>
    <w:rsid w:val="394CCA03"/>
    <w:rsid w:val="3996864F"/>
    <w:rsid w:val="399C8F20"/>
    <w:rsid w:val="39A02124"/>
    <w:rsid w:val="39E07133"/>
    <w:rsid w:val="3A359D38"/>
    <w:rsid w:val="3A4A085E"/>
    <w:rsid w:val="3A5D4003"/>
    <w:rsid w:val="3B35A898"/>
    <w:rsid w:val="3B525387"/>
    <w:rsid w:val="3BD25314"/>
    <w:rsid w:val="3BF9E579"/>
    <w:rsid w:val="3C02B8A3"/>
    <w:rsid w:val="3C77773A"/>
    <w:rsid w:val="3D130D9A"/>
    <w:rsid w:val="3DC40980"/>
    <w:rsid w:val="3DD24B27"/>
    <w:rsid w:val="3E55CB11"/>
    <w:rsid w:val="3E960468"/>
    <w:rsid w:val="3ECB4774"/>
    <w:rsid w:val="3F34DD35"/>
    <w:rsid w:val="406D71D9"/>
    <w:rsid w:val="40F98AC6"/>
    <w:rsid w:val="40FD4308"/>
    <w:rsid w:val="414453EF"/>
    <w:rsid w:val="41A56D05"/>
    <w:rsid w:val="41CA232F"/>
    <w:rsid w:val="41CDA52A"/>
    <w:rsid w:val="41F602D1"/>
    <w:rsid w:val="4238E978"/>
    <w:rsid w:val="42728B6A"/>
    <w:rsid w:val="42A23FE0"/>
    <w:rsid w:val="444B4B7C"/>
    <w:rsid w:val="446439D0"/>
    <w:rsid w:val="453F779E"/>
    <w:rsid w:val="45A790E3"/>
    <w:rsid w:val="45D9E0A2"/>
    <w:rsid w:val="46157E67"/>
    <w:rsid w:val="461E0521"/>
    <w:rsid w:val="463E3CCA"/>
    <w:rsid w:val="46817ED1"/>
    <w:rsid w:val="477541C4"/>
    <w:rsid w:val="4785512C"/>
    <w:rsid w:val="47990725"/>
    <w:rsid w:val="48345334"/>
    <w:rsid w:val="483CE6AE"/>
    <w:rsid w:val="48419935"/>
    <w:rsid w:val="48886107"/>
    <w:rsid w:val="489848AB"/>
    <w:rsid w:val="48B0252B"/>
    <w:rsid w:val="48B09DFA"/>
    <w:rsid w:val="48B88556"/>
    <w:rsid w:val="48CBCBBF"/>
    <w:rsid w:val="4919A509"/>
    <w:rsid w:val="495FD137"/>
    <w:rsid w:val="49784113"/>
    <w:rsid w:val="49B6B71B"/>
    <w:rsid w:val="49E6F3EA"/>
    <w:rsid w:val="4A4FF22A"/>
    <w:rsid w:val="4AA908E2"/>
    <w:rsid w:val="4ACAD034"/>
    <w:rsid w:val="4ACDA7F7"/>
    <w:rsid w:val="4AF70E00"/>
    <w:rsid w:val="4BE85921"/>
    <w:rsid w:val="4C3C9534"/>
    <w:rsid w:val="4C6AAB76"/>
    <w:rsid w:val="4D1C99C6"/>
    <w:rsid w:val="4D9E7AC8"/>
    <w:rsid w:val="4E2471A3"/>
    <w:rsid w:val="4E4BB236"/>
    <w:rsid w:val="4EAA79F6"/>
    <w:rsid w:val="4EBFD40C"/>
    <w:rsid w:val="4EEFB2C8"/>
    <w:rsid w:val="4F23634D"/>
    <w:rsid w:val="4F2E0B79"/>
    <w:rsid w:val="4FE78297"/>
    <w:rsid w:val="4FE9657C"/>
    <w:rsid w:val="50723844"/>
    <w:rsid w:val="508129F9"/>
    <w:rsid w:val="50960890"/>
    <w:rsid w:val="50B22B05"/>
    <w:rsid w:val="511AA5A3"/>
    <w:rsid w:val="515A6A70"/>
    <w:rsid w:val="51E1E1C9"/>
    <w:rsid w:val="520CECF6"/>
    <w:rsid w:val="520D50A4"/>
    <w:rsid w:val="52178411"/>
    <w:rsid w:val="525336E9"/>
    <w:rsid w:val="52589060"/>
    <w:rsid w:val="52B3F85C"/>
    <w:rsid w:val="53527658"/>
    <w:rsid w:val="536BF922"/>
    <w:rsid w:val="53CF7CBF"/>
    <w:rsid w:val="541B68AD"/>
    <w:rsid w:val="54B9CA47"/>
    <w:rsid w:val="54F87A56"/>
    <w:rsid w:val="551DD133"/>
    <w:rsid w:val="557D4532"/>
    <w:rsid w:val="5584BF05"/>
    <w:rsid w:val="55F7F1F2"/>
    <w:rsid w:val="56379837"/>
    <w:rsid w:val="566D5BC7"/>
    <w:rsid w:val="5671C755"/>
    <w:rsid w:val="56CA2FC3"/>
    <w:rsid w:val="56EAF534"/>
    <w:rsid w:val="5720B5CA"/>
    <w:rsid w:val="5745F967"/>
    <w:rsid w:val="5765C7B7"/>
    <w:rsid w:val="576A77E4"/>
    <w:rsid w:val="57931C0B"/>
    <w:rsid w:val="57C3D69D"/>
    <w:rsid w:val="582490BE"/>
    <w:rsid w:val="583AF4A2"/>
    <w:rsid w:val="587B2C72"/>
    <w:rsid w:val="58CDE793"/>
    <w:rsid w:val="595FA6FE"/>
    <w:rsid w:val="599AB5D6"/>
    <w:rsid w:val="59B7221C"/>
    <w:rsid w:val="5A6D9DD8"/>
    <w:rsid w:val="5AB3BFEF"/>
    <w:rsid w:val="5B2E9599"/>
    <w:rsid w:val="5B602F04"/>
    <w:rsid w:val="5B8F2356"/>
    <w:rsid w:val="5C0BC35F"/>
    <w:rsid w:val="5C412660"/>
    <w:rsid w:val="5C6545D0"/>
    <w:rsid w:val="5C6E6D9B"/>
    <w:rsid w:val="5E672208"/>
    <w:rsid w:val="5E88529B"/>
    <w:rsid w:val="5E896B7D"/>
    <w:rsid w:val="5EA73C74"/>
    <w:rsid w:val="5F410EFB"/>
    <w:rsid w:val="5FF36118"/>
    <w:rsid w:val="60018651"/>
    <w:rsid w:val="60C0F55C"/>
    <w:rsid w:val="60DF376E"/>
    <w:rsid w:val="60DF376E"/>
    <w:rsid w:val="6116B6FF"/>
    <w:rsid w:val="625B919A"/>
    <w:rsid w:val="62AC88E1"/>
    <w:rsid w:val="62B067E4"/>
    <w:rsid w:val="630768E3"/>
    <w:rsid w:val="636378A3"/>
    <w:rsid w:val="639337D5"/>
    <w:rsid w:val="64481F90"/>
    <w:rsid w:val="64B45ED9"/>
    <w:rsid w:val="65E0B70B"/>
    <w:rsid w:val="65E808A6"/>
    <w:rsid w:val="6678583B"/>
    <w:rsid w:val="6693A033"/>
    <w:rsid w:val="66AFDD20"/>
    <w:rsid w:val="670118FE"/>
    <w:rsid w:val="6707198B"/>
    <w:rsid w:val="67812B1F"/>
    <w:rsid w:val="6784F791"/>
    <w:rsid w:val="683DF5DC"/>
    <w:rsid w:val="6879BB76"/>
    <w:rsid w:val="68857C1C"/>
    <w:rsid w:val="68BC1249"/>
    <w:rsid w:val="68D5ED1C"/>
    <w:rsid w:val="692AA07B"/>
    <w:rsid w:val="69DC0BC5"/>
    <w:rsid w:val="6A158BD7"/>
    <w:rsid w:val="6A777A9D"/>
    <w:rsid w:val="6AA2516C"/>
    <w:rsid w:val="6ABB79C9"/>
    <w:rsid w:val="6B2323CF"/>
    <w:rsid w:val="6BDA8AAE"/>
    <w:rsid w:val="6BF3B30B"/>
    <w:rsid w:val="6C051ECC"/>
    <w:rsid w:val="6C924162"/>
    <w:rsid w:val="6CBEF430"/>
    <w:rsid w:val="6DC34FEA"/>
    <w:rsid w:val="6DFF4897"/>
    <w:rsid w:val="7037C8A1"/>
    <w:rsid w:val="7042A229"/>
    <w:rsid w:val="70E0FF01"/>
    <w:rsid w:val="70EAD473"/>
    <w:rsid w:val="70F65247"/>
    <w:rsid w:val="7106EB15"/>
    <w:rsid w:val="711E9F9C"/>
    <w:rsid w:val="716A2D2E"/>
    <w:rsid w:val="71B3AC11"/>
    <w:rsid w:val="722B62F9"/>
    <w:rsid w:val="7276CBE7"/>
    <w:rsid w:val="72BD9529"/>
    <w:rsid w:val="72F249DA"/>
    <w:rsid w:val="73E4ECFD"/>
    <w:rsid w:val="7495751C"/>
    <w:rsid w:val="750B22A4"/>
    <w:rsid w:val="7513C597"/>
    <w:rsid w:val="75496C1F"/>
    <w:rsid w:val="754F3478"/>
    <w:rsid w:val="759804A4"/>
    <w:rsid w:val="766F2F5A"/>
    <w:rsid w:val="76E3F7F2"/>
    <w:rsid w:val="77213A9E"/>
    <w:rsid w:val="777F242C"/>
    <w:rsid w:val="77DC0A6C"/>
    <w:rsid w:val="780A2042"/>
    <w:rsid w:val="7819C782"/>
    <w:rsid w:val="78646460"/>
    <w:rsid w:val="78707EB2"/>
    <w:rsid w:val="78AB17B9"/>
    <w:rsid w:val="78B6B41E"/>
    <w:rsid w:val="78DA012E"/>
    <w:rsid w:val="7948B1CB"/>
    <w:rsid w:val="79A57F4C"/>
    <w:rsid w:val="79C35D4C"/>
    <w:rsid w:val="79D1910B"/>
    <w:rsid w:val="7A013F3D"/>
    <w:rsid w:val="7A031B29"/>
    <w:rsid w:val="7A0C4F13"/>
    <w:rsid w:val="7A56CB10"/>
    <w:rsid w:val="7AC4EAB0"/>
    <w:rsid w:val="7B06BE28"/>
    <w:rsid w:val="7B14020F"/>
    <w:rsid w:val="7B17ADF1"/>
    <w:rsid w:val="7DAFB290"/>
    <w:rsid w:val="7DEF82C9"/>
    <w:rsid w:val="7E602A12"/>
    <w:rsid w:val="7ECAE64B"/>
    <w:rsid w:val="7EFCE0CE"/>
    <w:rsid w:val="7F0BF60E"/>
    <w:rsid w:val="7F1A38D2"/>
    <w:rsid w:val="7F577D53"/>
    <w:rsid w:val="7F79242B"/>
    <w:rsid w:val="7F8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A701"/>
  <w15:chartTrackingRefBased/>
  <w15:docId w15:val="{462C6A15-E1E4-4995-A7D6-6F70E82896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d2c0adb75694499" /><Relationship Type="http://schemas.openxmlformats.org/officeDocument/2006/relationships/numbering" Target="numbering.xml" Id="R6517a447432f4038" /><Relationship Type="http://schemas.openxmlformats.org/officeDocument/2006/relationships/hyperlink" Target="https://coloradosph.cuanschutz.edu/research-and-practice/practice/cannabis-research/resources" TargetMode="External" Id="R95bf1fab35194f46" /><Relationship Type="http://schemas.openxmlformats.org/officeDocument/2006/relationships/hyperlink" Target="https://ce.childrenscolorado.org/content/cannabis-update-2024" TargetMode="External" Id="Rb2a4312b91504d28" /><Relationship Type="http://schemas.openxmlformats.org/officeDocument/2006/relationships/hyperlink" Target="https://coloradosph.cuanschutz.edu/research-and-practice/practice/cannabis-research/resources" TargetMode="External" Id="Redbc6c206f7e408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2024-02-28T15:33:47.7622125Z</dcterms:created>
  <dcterms:modified xsi:type="dcterms:W3CDTF">2024-03-15T14:40:37.8090000Z</dcterms:modified>
  <dc:creator>Soleimanpour, Neeloofar</dc:creator>
  <lastModifiedBy>Soleimanpour, Neeloofar</lastModifiedBy>
</coreProperties>
</file>